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LF150048 vom 9. Oktober 2015</w:t>
      </w:r>
    </w:p>
    <w:p>
      <w:r>
        <w:t>ZH Obergericht, 2015-10-09, DE</w:t>
      </w:r>
    </w:p>
    <w:p>
      <w:r>
        <w:rPr>
          <w:b/>
        </w:rPr>
        <w:t xml:space="preserve">Quelle: </w:t>
      </w:r>
      <w:r>
        <w:t>https://mcp.opencaselaw.ch/entscheid/zh_obergericht_LF150048</w:t>
      </w:r>
    </w:p>
    <w:p>
      <w:r>
        <w:t>FR: ZH_OBERGERICHT LF150048 du 9 octobre 2015</w:t>
      </w:r>
    </w:p>
    <w:p>
      <w:r>
        <w:t>IT: ZH_OBERGERICHT LF150048 del 9 ottobre 2015</w:t>
      </w:r>
    </w:p>
    <w:p>
      <w:pPr>
        <w:pStyle w:val="Heading2"/>
      </w:pPr>
      <w:r>
        <w:t>Erwägungen</w:t>
      </w:r>
    </w:p>
    <w:p>
      <w:r>
        <w:rPr>
          <w:b/>
        </w:rPr>
        <w:t>E. 1</w:t>
      </w:r>
    </w:p>
    <w:p>
      <w:r>
        <w:t>Am tt.mm.2015 verstarb die in Winterthur wohnhaft gewesene B._____. Die Erblasserin hatte am 8. November 2005 verfügt, dass sie unter Ausschluss der gesetzlichen Erben vier Personen, darunter die Berufungsklägerin, als Erben ein- setze. In einer späteren letztwilligen Verfügung vom 1. Januar 2008 bestimmte sie sodann, dass ihre Betreuerin (Nichte) ihr Seniorensparkonto bei der Migrosbank erhalte. Das Einzelgericht in Erbschaftssachen am Bezirksgericht Winterthur er- öffnete die Testamente und ordnete mit Urteil vom 20. August 2015 unter ande- rem an, dass den eingesetzten Erben auf Verlangen der auf sie lautende Erb- schein ausgestellt würde, sofern ihre Berechtigung nicht innert dreissig Tagen ab Zustellung des Urteils durch schriftliche Eingabe ans Einzelgericht ausdrücklich bestritten werde (act. 3 = act. 6, Dispositivziffer 3).</w:t>
      </w:r>
    </w:p>
    <w:p>
      <w:r>
        <w:rPr>
          <w:b/>
        </w:rPr>
        <w:t>E. 2</w:t>
      </w:r>
    </w:p>
    <w:p>
      <w:r>
        <w:t>Gegen dieses Urteil erhob die Berufungsklägerin am 3. September 2015 (Datum Poststempel) rechtzeitig Berufung (act. 7, act. 4). Mit Verfügung vom 9. September 2015 wurde ihr einerseits eine Nachfrist angesetzt, um eine Pro- zessführungsvollmacht lautend auf ihren Rechtsvertreter beizubringen und ander- seits wurde ihr Frist zur Leistung eines Kostenvorschusses für das hiesige Verfah- ren angesetzt (act. 8). Innert Frist reichte die Berufungsklägerin die Vollmacht ein und stellte ein Gesuch um unentgeltliche Rechtspflege (act. 12-14). Die Akten der Vorinstanz wurden beigezogen (act. 1-4). Die Sache erweist sich als spruchreif.</w:t>
      </w:r>
    </w:p>
    <w:p>
      <w:r>
        <w:rPr>
          <w:b/>
        </w:rPr>
        <w:t>E. 3</w:t>
      </w:r>
    </w:p>
    <w:p>
      <w:r>
        <w:t>Schriftliche Mitteilung an die Berufungsklägerin sowie an das Einzelgericht in Erbschaftssachen des Bezirksgerichts Winterthur, je gegen Empfangs- schein. Nach unbenutztem Ablauf der Rechtsmittelfrist gehen die erstinstanzlichen Akten an die Vorinstanz zurück.</w:t>
      </w:r>
    </w:p>
    <w:p>
      <w:r>
        <w:t>- 7 -</w:t>
      </w:r>
    </w:p>
    <w:p>
      <w:r>
        <w:rPr>
          <w:b/>
        </w:rPr>
        <w:t>E. 4</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 Die Beschwerde an das Bundesgericht hat keine aufschiebende Wirkung. Obergericht des Kantons Zürich II. Zivilkammer Die Gerichtsschreiberin: Dr. M. Isler versandt am: 12. 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