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LF130034 vom 28. Juni 2013</w:t>
      </w:r>
    </w:p>
    <w:p>
      <w:r>
        <w:t>ZH Obergericht, 2013-06-28, DE</w:t>
      </w:r>
    </w:p>
    <w:p>
      <w:r>
        <w:rPr>
          <w:b/>
        </w:rPr>
        <w:t xml:space="preserve">Quelle: </w:t>
      </w:r>
      <w:r>
        <w:t>https://mcp.opencaselaw.ch/entscheid/zh_obergericht_LF130034</w:t>
      </w:r>
    </w:p>
    <w:p>
      <w:r>
        <w:t>FR: ZH_OBERGERICHT LF130034 du 28 juin 2013</w:t>
      </w:r>
    </w:p>
    <w:p>
      <w:r>
        <w:t>IT: ZH_OBERGERICHT LF130034 del 28 giugno 2013</w:t>
      </w:r>
    </w:p>
    <w:p>
      <w:pPr>
        <w:pStyle w:val="Heading2"/>
      </w:pPr>
      <w:r>
        <w:t>Erwägungen</w:t>
      </w:r>
    </w:p>
    <w:p>
      <w:r>
        <w:rPr>
          <w:b/>
        </w:rPr>
        <w:t>E. 2</w:t>
      </w:r>
    </w:p>
    <w:p>
      <w:r>
        <w:t>Die Berufungsklägerin reichte mit der Berufungsschrift und der ergänzenden Eingabe diverse neue Beilagen zu den Akten (act. 12/1-7; act. 17/1-4). Im Beru- fungsverfahren sind neue Beweismittel (Noven) nur beschränkt zulässig (vgl. Art. 317 Abs. 1 ZPO). Dabei ist zu unterscheiden zwischen echten Noven, welche erst nach dem Ende der vorinstanzlichen Hauptverhandlung entstanden sind und solchen, die bereits davor vorhanden waren (sog. unechte Noven). Echte Noven, die im Berufungsverfahren ohne Verzug vorgebracht werden, sind immer zulässig (vgl. ZK ZPO-Reetz/Hilber, 2. Aufl., Art. 317 N 56). Demgegenüber können un- echte Noven nur noch berücksichtigt werden, wenn sie trotz zumutbarer Sorgfalt nicht schon vor erster Instanz vorgebracht werden konnten (Art. 317 Abs. 1 ZPO). Die Beilagen act. 12/1-6 stellen unechte Noven dar. Da nicht nachvollziehbar ist, weshalb diese Beilagen nicht schon vor Vorinstanz eingereicht werden konnten und die Berufungsklägerin dazu einzig vorbringt, sie habe vor Vorinstanz dürftige Hinweise geliefert, sind diese im Berufungsverfahren nicht zu berücksichtigen. Die übrigen Beilagen (act. 12/7; act. 17/1-4) stellen echte Noven dar und sind zuläs- sig.</w:t>
      </w:r>
    </w:p>
    <w:p>
      <w:r>
        <w:rPr>
          <w:b/>
        </w:rPr>
        <w:t>E. 3</w:t>
      </w:r>
    </w:p>
    <w:p>
      <w:r>
        <w:t>Die Vorinstanz erwog in der Verfügung vom 22. April 2013, die Berufungs- klägerin mache mit ihrer Eingabe vom 18. April 2013 sinngemäss geltend, sie ha- be den mit dem Berufungsbeklagten geschlossenen Mietvertrag gekündigt. Er sei daher zwangsauszuweisen. Der Eingabe sei jedoch nicht klar zu entnehmen, wel- ches Mietobjekt die Klage betreffen soll, zumal darin von einer Wohnung die Rede sei, die eingereichte Kündigung aber eine Werkstatt betreffe (Verweis auf act. 1). Die Berufungsklägerin habe damit die genannten Anforderungen an ein Klagebe- gehren nicht erfüllt. Es sei deshalb bereits aus diesem Grund auf die Klage nicht einzutreten. Das Ansetzten einer Nachfrist zu deren Verbesserung erübrige sich vorliegend, da auf das Gesuch auch aus anderen Gründen nicht einzutreten sei (act. 11 S. 2). Sodann führte die Vorinstanz aus, aus welchen Gründen die Vo- raussetzungen für die Gewährung des Rechtsschutzes in klaren Fällen nach Art. 257 ZPO nicht gegeben seien. In erster Linie äusserte sie sich hierbei über den von der Berufungsklägerin eingereichten Abzahlungsplan / Kündigungsrück- zug vom 13. April 2013 (act. 3/3; act. 11 S. 2 f.).</w:t>
      </w:r>
    </w:p>
    <w:p>
      <w:r>
        <w:t>- 4 -</w:t>
      </w:r>
    </w:p>
    <w:p>
      <w:r>
        <w:rPr>
          <w:b/>
        </w:rPr>
        <w:t>E. 4</w:t>
      </w:r>
    </w:p>
    <w:p>
      <w:r>
        <w:t>Die Berufungsklägerin bringt dagegen im Wesentlichen vor, ihr Begehren beziehe sich ausschliesslich auf die Kündigung per 30. April 2013. Es handle sich um eine Werkstatt gemäss Plan. Von einer Wohnung sei nie die Rede gewesen. Der Berufungsbeklagte habe seit Juli 2013 (recte: wohl 2012) kein Domizil mehr. Die Kündigung sei ordnungsgemäss auf 3 Monate ausgesprochen geworden. Der Abzahlungsplan / Kündigungsrückzug sei 14 Tage vor Ablauf des Mietverhältnis- ses errichtet worden. Des Weiteren bestreitet die Berufungsklägerin nicht, dass sie das Dokument "Abzahlungsplan / Kündigungsrückzug" unterzeichnet habe, al- lerdings macht sie geltend, den Kündigungsrückzug innert 7 Tagen annulliert zu haben (act. 10). 5.1 Die Vorinstanz kam richtigerweise zum Schluss, dass das Rechtsbegehren unklar abgefasst worden ist. Unklare Rechtsbegehren sind nach Treu und Glau- ben auszulegen. Die gerichtliche Fragepflicht nach Art. 56 ZPO verlangt überdies, dass das Gericht unklare und widersprüchliche Rechtsbegehren, bei denen eine Auslegung nicht zum Ziel führt, durch die betreffende Partei klären lässt (ZK ZPO- Leuenberger, 2. Aufl., Art. 221 N 38 f. m.H.). Die Vorinstanz wäre daher in Nach- achtung der gerichtlichen Fragepflicht grundsätzlich verpflichtet gewesen, der Be- rufungsklägerin entweder – unter Hinweis auf das unklare Rechtsbegehren – Frist zur Verbesserung ihres Begehrens anzusetzen oder die Parteien zur Hauptver- handlung vorzuladen. Wie nachfolgend zu zeigen ist, verzichtete die Vorinstanz mit Blick auf die Eintretensvoraussetzungen von Art. 257 Abs. 1 ZPO jedoch zu- lässigerweise auf Weiterungen. 5.2 Nach Art. 257 Abs. 1 ZPO gewährt das Gericht Rechtsschutz im summari- schen Verfahren, wenn der Sachverhalt unbestritten oder sofort beweisbar, und die Rechtslage klar ist. Mieterausweisungen infolge Zahlungsverzugs nach Art. 257d OR sind klassische Anwendungsfälle für Verfahren nach Art. 257 ZPO. Ei- nerseits lässt sich die Sachlage in solchen Fällen liquide beweisen (Mahnungen; Fristansetzungen; Kündigungen [vgl. DIKE-Komm-ZPO-Göksu, Art. 257 N 15, On- line-Stand 16. April 2012]) und andererseits ergibt sich die Rechtsfolge bei An- wendung des Gesetzes unter Berücksichtigung von Lehre und Rechtsprechung ohne Weiteres. Damit führt die Rechtsanwendung zu einem eindeutigen Ergebnis,</w:t>
      </w:r>
    </w:p>
    <w:p>
      <w:r>
        <w:t>- 5 - was als klare Rechtslage bezeichnet werden kann (BGE 138 III 123 E. 2.1.2 m. H.). Geht beim Einzelgericht ein Gesuch um Mieterausweisung ein, gibt es der Gegenpartei Gelegenheit, mündlich oder schriftlich dazu Stellung zu nehmen, so- fern das Gesuch nicht offensichtlich unzulässig oder offensichtlich unbegründet erscheint (Art. 252 ZPO). Offensichtlich unzulässig war das Begehren vom 18. April 2012 (act. 1) nicht. Von einem offensichtlich unbegründeten Begehren kann ausgegangen werden, wenn von vornherein ein nicht schlüssiger Tatsa- chenvortrag vorliegt, welcher selbst dann keinen Rechtsschutz verdient, wenn alle Behauptungen unbestritten bleiben würden. Eine eindeutige Aussichtslosigkeit wird selbst bei fehlenden Beweisanträgen solange nicht vorliegen, als nicht klar ist, welche Tatsachen die Gegenpartei überhaupt bestreitet (vgl. DIKE-Komm- ZPO-Kaufmann, Art. 253 N 3 ff., Online-Stand 21, November 2012). 5.3 Dem Berufungsbeklagten wurde vor Vorinstanz keine Gelegenheit einge- räumt, sich zum Ausweisungsbegehren zu äussern. Ferner liess er sich im Beru- fungsverfahren nicht vernehmen. Aus den von der Berufungsklägerin selbst ein- gereichten Beilagen lässt sich jedoch entnehmen, dass er die "Annullierung" des Abzahlungsplans bzw. des Kündigungsrückzugs nach wie vor bestreitet. Nament- lich legte die Berufungsklägerin im Sinne von echten Noven zwei Schreiben des Berufungsbeklagten vom 8. Mai 2013 (act. 17/2 u. 3) ins Recht, welche belegen, dass er auch nach Anhebung des Berufungsverfahrens am Mietverhältnis festhal- ten möchte und seiner Ansicht nach das von der Berufungsklägerin unterzeichne- te Dokument "Abzahlungsplan / Kündigungsrückzug" (act. 3/3 u. 4) Bestand hat. Somit ergibt sich, dass in Bezug auf den Bestand des Mietverhältnisses der Sachverhalt mitnichten unbestritten ist. Selbst wenn die Berufungsklägerin mit ih- rem Schreiben vom 14. April 2013 (act. 3/4) die Aufhebung des Zahlungsplans bzw. Kündigungsrückzugs erklären wollte, was sofort hätte bewiesen werden können, ist die daraus folgende Rechtslage nicht im Sinne von Art. 257 Abs. 1 lit. b ZPO klar. Auf die diesbezüglichen zutreffenden Erwägungen der Vorinstanz kann verwiesen werden (act. 9 S. 3).</w:t>
      </w:r>
    </w:p>
    <w:p>
      <w:r>
        <w:t>- 6 - Im Sinne dieser Erwägungen ist das Ausweisungsbegehren der Berufungs- klägerin als offensichtlich unbegründet zu bezeichnen, weshalb die Vorinstanz zu Recht sofort nicht darauf eintrat. Die Berufung ist abzuweisen.</w:t>
      </w:r>
    </w:p>
    <w:p>
      <w:r>
        <w:rPr>
          <w:b/>
        </w:rPr>
        <w:t>E. 6</w:t>
      </w:r>
    </w:p>
    <w:p>
      <w:r>
        <w:t>Bei diesem Ausgang des Verfahrens wird die Berufungsklägerin kosten- und entschädigungspflichtig (Art. 106 Abs. 1 ZPO). Die Entscheidgebühr ist auf Fr. 1'500.– festzusetzen und aus dem geleisteten Vorschuss zu beziehen (vgl. act. 14 S. 2). Mangels entstandener Aufwände ist dem Berufungsbeklagten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