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LF130017 vom 25. April 2013</w:t>
      </w:r>
    </w:p>
    <w:p>
      <w:r>
        <w:t>ZH Obergericht, 2013-04-25, DE</w:t>
      </w:r>
    </w:p>
    <w:p>
      <w:r>
        <w:rPr>
          <w:b/>
        </w:rPr>
        <w:t xml:space="preserve">Quelle: </w:t>
      </w:r>
      <w:r>
        <w:t>https://mcp.opencaselaw.ch/entscheid/zh_obergericht_LF130017</w:t>
      </w:r>
    </w:p>
    <w:p>
      <w:r>
        <w:t>FR: ZH_OBERGERICHT LF130017 du 25 avril 2013</w:t>
      </w:r>
    </w:p>
    <w:p>
      <w:r>
        <w:t>IT: ZH_OBERGERICHT LF130017 del 25 aprile 2013</w:t>
      </w:r>
    </w:p>
    <w:p>
      <w:pPr>
        <w:pStyle w:val="Heading2"/>
      </w:pPr>
      <w:r>
        <w:t>Erwägungen</w:t>
      </w:r>
    </w:p>
    <w:p>
      <w:r>
        <w:rPr>
          <w:b/>
        </w:rPr>
        <w:t>E. 1</w:t>
      </w:r>
    </w:p>
    <w:p>
      <w:r>
        <w:t>Mit Vertrag vom 29. November 2007 mietete der Beklagte und Beru- fungskläger (nachfolgend Beklagter) von der Klägerin und Berufungsbeklagten (nachfolgend Klägerin) per 1. Dezember 2007 "Lagerräumlichkeit + Abstellplatz No …" an der E._____-Gasse ... in F._____. Es wurde eine Kündigungsfrist von drei Monaten auf Ende eines jeden Monats (ausgenommen Dezember) vereinbart (act. 3/1). Mit Eingabe vom 1. Februar 2013 stellte die Klägerin beim Einzelgericht im summarischen Verfahren des Bezirksgerichts Andelfingen ein Ausweisungs- begehren gestützt auf die per 31. Januar 2013 ausgesprochene Kündigung vom 10. Oktober 2012 (act. 1, act. 3/3 und 3/8).</w:t>
      </w:r>
    </w:p>
    <w:p>
      <w:r>
        <w:rPr>
          <w:b/>
        </w:rPr>
        <w:t>E. 2</w:t>
      </w:r>
    </w:p>
    <w:p>
      <w:r>
        <w:t>Mit Urteil vom 15. März 2013 hiess das Einzelgericht im summarischen Verfahren des Bezirksgerichts Andelfingen das Ausweisungsbegehren gut und verpflichtete den Beklagten unter Androhung der Zwangsvollstreckung im Unter- lassungsfall, die Mieträume an der E._____-Gasse ... in F._____ bis spätestens 10. April 2013 unverzüglich zu räumen und der Klägerin ordnungsgemäss zu übergeben (act. 8 = act. 11).</w:t>
      </w:r>
    </w:p>
    <w:p>
      <w:r>
        <w:rPr>
          <w:b/>
        </w:rPr>
        <w:t>E. 3</w:t>
      </w:r>
    </w:p>
    <w:p>
      <w:r>
        <w:t>Gegen dieses Urteil richtet sich die mit Eingabe vom 30. März 2013 rechtzeitig erhobene Berufung (act. 12, act. 9/2). Der Beklagte beantragt sinnge- mäss, es sei der angefochtene Entscheid aufzuheben und es sei das Auswei- sungsbegehren abzuweisen. Mit Verfügung vom 8. April 2013 wurde dem Beklag- ten Frist zur Leistung eines Kostenvorschusses für das Berufungsverfahren ange- setzt (act. 15). Der Kostenvorschuss ging am 22. April 2013 bei der Obergerichts- kasse ein (act. 17).</w:t>
      </w:r>
    </w:p>
    <w:p>
      <w:r>
        <w:rPr>
          <w:b/>
        </w:rPr>
        <w:t>E. 4</w:t>
      </w:r>
    </w:p>
    <w:p>
      <w:r>
        <w:t>Vorliegend stellt sich einzig die Frage der Gültigkeit der Kündigung. Die Klägerin stellte mit ihrem Ausweisungsbegehren an die Vorinstanz folgendes Rechtsbegehren: "Ausweisung infolge Nicht-Einhaltung der Kündigungsfrist per 31.1.2013 sowie Mietausstände seit 1.3.2012" (act. 1 S. 1). Mit der etwas unbe- helflichen Formulierung nimmt die Klägerin Bezug auf ihre mit Schreiben vom 10. Oktober 2012 per 31. Januar 2013 ausgesprochene bzw. die auf einem vom Kanton genehmigten Formular ausgesprochene Kündigung (act. 3/3 und 3/8). Trotz den von der Klägerin geltend gemachten Mietzinsausständen handelt es sich bei dieser Kündigung der Lagerräumlichkeit und des Abstellplatzes um eine ordentliche Kündigung unter Einhaltung der vertraglich vereinbarten dreimonati- gen Kündigungsfrist (vgl. act. 3/1 S. 1; Art. 266a Abs. 1 in Verbindung mit Art. 266e OR). Der Beklagte stellt sich im Berufungsverfahren nicht mehr auf den Stand- punkt, dass von der Klägerin eine Kündigungsfrist von sechs Monaten einzuhalten gewesen wäre, weshalb sich diesbezügliche Ausführungen erübrigen. Hingegen macht er geltend, die Klägerin müsse ihm Rechenschaft über den gegenwärtigen Mietzinsrückstand geben. Seine Ausführungen sind dahingehend zu verstehen, dass er davon ausgeht, die Höhe der Ausstände könne ihm Aufschluss über die Gültigkeit der Kündigung geben. Da es sich vorliegend um eine ordentliche Kün- digung und nicht um eine Kündigung im Sinne von Art. 257 OR (Zahlungsrück- stand des Mieters) handelt, ist es allerdings nicht relevant, ob und in welchem</w:t>
      </w:r>
    </w:p>
    <w:p>
      <w:r>
        <w:t>- 5 - Umfang der Beklagte mit seinen Mietzinszahlungen im Verzug ist. Immerhin ist dem Beklagten zuzustimmen, dass er in seiner Stellungnahme vom 1. März 2013 nicht ausführte "mit seinen Mietzinszahlungen erheblich im Rückstand zu sein". Er äusserte sich lediglich dahingehend, dass er nicht bestreite, bei der Klägerin mit der Miete im Verzug zu sein (act. 7). Daraus, dass die Vorinstanz seine Ausfüh- rungen im Urteil ungenau wiedergab, lässt sich jedoch nichts zu seinen Gunsten ableiten. Im Ergebnis ist festzuhalten, dass mit Blick auf die von der Klägerin einge- reichten Kündigung der Lagerräumlichkeit und des Abstellplatzes per 31. Januar 2013 ein liquider Sachverhalt vorliegt; der Beklagte vermochte diese von der Klä- gerin behauptete Tatsache mit seinen Einwänden nicht zu entkräften. Die Beru- fung ist daher abzuweisen. III. Ausgangsgemäss wird der Beklagte kostenpflichtig (Art. 106 Abs. 1 ZPO). Der Beklagte bestreitet im Rahmen des Ausweisungsverfahrens sinngemäss die gültige Auflösung des Mietverhältnisses, weshalb der Streitwert des Berufungs- verfahrens dem Mietzins entspricht, der für die Dauer bis zum nächstmöglichen Kündigungstermin geschuldet ist, gerechnet ab dem bestrittenen Kündigungster- min (31. Januar 2013). Dabei ist jedoch auch der Kündigungsschutz (Sperrfrist) von drei Jahren gemäss Art. 271a lit e OR zu berücksichtigen. Es sind somit 39 Monatsmieten zu je Fr. 1'100.– (vgl. act. 3/1) zu berücksichtigen, was einem Streitwert von Fr. 42'900.– entspricht. Die Entscheidgebühr ist demnach in An- wendung von § 4 Abs. 1 bis Abs. 3 GebV OG und § 8 Abs. 1 GebV OG in Verbin- dung mit § 12 GebV OG auf Fr. 1'500.– festzusetzen. Mangels Umtrieben ist der Klägerin keine Parteientschädigung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