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LF120070 vom 6. November 2012</w:t>
      </w:r>
    </w:p>
    <w:p>
      <w:r>
        <w:t>ZH Obergericht, 2012-11-06, DE</w:t>
      </w:r>
    </w:p>
    <w:p>
      <w:r>
        <w:rPr>
          <w:b/>
        </w:rPr>
        <w:t xml:space="preserve">Quelle: </w:t>
      </w:r>
      <w:r>
        <w:t>https://mcp.opencaselaw.ch/entscheid/zh_obergericht_LF120070</w:t>
      </w:r>
    </w:p>
    <w:p>
      <w:r>
        <w:t>FR: ZH_OBERGERICHT LF120070 du 6 novembre 2012</w:t>
      </w:r>
    </w:p>
    <w:p>
      <w:r>
        <w:t>IT: ZH_OBERGERICHT LF120070 del 6 novembre 2012</w:t>
      </w:r>
    </w:p>
    <w:p>
      <w:pPr>
        <w:pStyle w:val="Heading2"/>
      </w:pPr>
      <w:r>
        <w:t>Erwägungen</w:t>
      </w:r>
    </w:p>
    <w:p>
      <w:r>
        <w:rPr>
          <w:b/>
        </w:rPr>
        <w:t>E. 1</w:t>
      </w:r>
    </w:p>
    <w:p>
      <w:r>
        <w:t>Am tt. Mai 2012 verstarb der Schweizer Staatsangehörige B._____ an seinem letzten Wohnsitz in D._____ (act. 2a und act. 3). Am 13. August 2012 reichte die Ehefrau des Verstorbenen dem Einzelgericht in Erbschaftssachen am Bezirksgericht Zürich eine eigenhändige letztwillige Verfügung des Erblassers vom 11. September 2005 ein (act. 1 und Testament in vorinstanzlichen Akten). Mit Urteil vom 1. Oktober 2012 eröffnete das Einzelgericht den Beteiligten diese letztwillige Verfügung und stellte den gesetzlichen Erben (Ehefrau E._____, Tochter A._____ und Sohn F._____) die Ausstellung eines Erbscheins in Aussicht sowie die Annahme des Willensvollstreckermandats durch die G._____ AG fest (act. 7 S. 3).</w:t>
      </w:r>
    </w:p>
    <w:p>
      <w:r>
        <w:rPr>
          <w:b/>
        </w:rPr>
        <w:t>E. 2</w:t>
      </w:r>
    </w:p>
    <w:p>
      <w:r>
        <w:t>Vor der inhaltlichen Beurteilung einer Klage oder eines Rechtsmittels prüft das angerufene Gericht von Amtes wegen die sogenannten Prozessvoraus- setzungen (Art. 60 ZPO). Ohne deren Vorhandensein ist es dem Gericht nicht ge- stattet, auf ein Rechtsbegehren einzutreten und ein Sachurteil zu fällen (Art. 59 Abs. 1 ZPO). Zu diesen Eintretensvoraussetzungen gehören insbesondere die</w:t>
      </w:r>
    </w:p>
    <w:p>
      <w:r>
        <w:t>- 4 - sachliche und örtliche (Art. 59 Abs. 2 lit. b ZPO) sowie die funktionelle Zuständig- keit. Das von der Berufungsklägerin angerufene Obergericht fungiert grundsätz- lich als Rechtsmittelinstanz. Als solche prüft es den Entscheid der Vorinstanz im Umfang der Anträge, allerdings nur insoweit, als diese überhaupt von der Vor- instanz behandelte und geprüfte Fragen aufwerfen. Im angefochtenen Entscheid wurde lediglich die Versendung einer Testamentskopie an die Beteiligten ange- ordnet und die Zustellung eines Erbscheins in Aussicht gestellt. Die Vorinstanz bearbeitete somit lediglich diese Bereiche. Der von der Berufungsklägerin ver- langte Einbezug weiterer Güter in den Nachlass und der Ausschluss der Nach- kommen der Ehefrau des Erblassers beziehen sich dagegen auf andere Sachver- halte. Ihre Anträge können nach dem Gesagten nicht Gegenstand eines Rechts- mittelverfahrens gegen die angefochtene Verfügung bilden. Die Durchsetzung ei- nes Einsichtsrechts hätte mittels gesondert einzureichender Klage zu erfolgen. Die Anfechtung einer Verfügung von Todes wegen (Testament oder Erbvertrag) müsste schliesslich mit Ungültigkeits- (Art. 519 ff. ZGB) und / oder Herabset- zungsklage (Art. 522 ff. ZGB) erwirkt werden. Anfechtungsgründe sind etwa Ver- fügungsunfähigkeit, Willensmängel, Rechts- oder Sittenwidrigkeit, Formmängel oder (bei der Herabsetzungsklage) Pflichtteilsverletzungen.</w:t>
      </w:r>
    </w:p>
    <w:p>
      <w:r>
        <w:rPr>
          <w:b/>
        </w:rPr>
        <w:t>E. 3</w:t>
      </w:r>
    </w:p>
    <w:p>
      <w:r>
        <w:t>Nach dem Gesagten fehlt es bezüglich der Anträge der Berufungsklä- gerin an einem erstinstanzlichen Entscheid. Es mangelt damit an einem Anfech- tungsobjekt für die konkrete Berufung, weshalb auf das Rechtsmittel nicht einzu- 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