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LF120069 vom 17. April 2013</w:t>
      </w:r>
    </w:p>
    <w:p>
      <w:r>
        <w:t>ZH Obergericht, 2013-04-17, DE</w:t>
      </w:r>
    </w:p>
    <w:p>
      <w:r>
        <w:rPr>
          <w:b/>
        </w:rPr>
        <w:t xml:space="preserve">Quelle: </w:t>
      </w:r>
      <w:r>
        <w:t>https://mcp.opencaselaw.ch/entscheid/zh_obergericht_LF120069</w:t>
      </w:r>
    </w:p>
    <w:p>
      <w:r>
        <w:t>FR: ZH_OBERGERICHT LF120069 du 17 avril 2013</w:t>
      </w:r>
    </w:p>
    <w:p>
      <w:r>
        <w:t>IT: ZH_OBERGERICHT LF120069 del 17 aprile 2013</w:t>
      </w:r>
    </w:p>
    <w:p>
      <w:pPr>
        <w:pStyle w:val="Heading2"/>
      </w:pPr>
      <w:r>
        <w:t>Erwägungen</w:t>
      </w:r>
    </w:p>
    <w:p>
      <w:r>
        <w:rPr>
          <w:b/>
        </w:rPr>
        <w:t>E. 1</w:t>
      </w:r>
    </w:p>
    <w:p>
      <w:r>
        <w:t>Über den Nachlass der eingangs genannten Erblasserin wird die Erbschaftsverwal- tung angeordnet.</w:t>
      </w:r>
    </w:p>
    <w:p>
      <w:r>
        <w:rPr>
          <w:b/>
        </w:rPr>
        <w:t>E. 2</w:t>
      </w:r>
    </w:p>
    <w:p>
      <w:r>
        <w:t>Mit der Erbschaftsverwaltung wird RA Dr. H._____, … [Adresse], beauftragt und an- gewiesen, dem Einzelgericht eine Abschrift des Inventars zuzustellen. Von diesem Auftrag ausgenommen ist die Führung des am Bezirksgericht Meilen hängigen Forderungsprozesses CG110009 auf beklagtischer Seite.</w:t>
      </w:r>
    </w:p>
    <w:p>
      <w:r>
        <w:t>- 3 -</w:t>
      </w:r>
    </w:p>
    <w:p>
      <w:r>
        <w:rPr>
          <w:b/>
        </w:rPr>
        <w:t>E. 3</w:t>
      </w:r>
    </w:p>
    <w:p>
      <w:r>
        <w:t>Mit der Führung des am Bezirksgericht Meilen hängigen Prozesses CG110009 auf beklagtischer Seite wird ein von den Erben der Erblasserin zu bestimmender Erb- schaftsverwalter betraut. Den Erben werden insofern vorgeschlagen: RA Dr. I._____, … [Adresse], RA Dr. J._____, … [Adresse]. Es wird einer der Genannten hinsichtlich des Verfahrens CG110009 zum Erbschafts- verwalter ernannt, sofern die Erben der Erblasserin nicht innert 7 Tagen ab Zustel- lung dieses Entscheids gegen die Vorgeschlagenen Ablehnungsgründe vorbringen bzw. sich nicht auf eine andere insofern geeignete Person einigen. Die formelle Ernennung erfolgt mittels separatem Entscheid.</w:t>
      </w:r>
    </w:p>
    <w:p>
      <w:r>
        <w:rPr>
          <w:b/>
        </w:rPr>
        <w:t>E. 4</w:t>
      </w:r>
    </w:p>
    <w:p>
      <w:r>
        <w:t>Die Entscheidgebühr wird festgesetzt auf CHF 2'500.--.</w:t>
      </w:r>
    </w:p>
    <w:p>
      <w:r>
        <w:rPr>
          <w:b/>
        </w:rPr>
        <w:t>E. 5</w:t>
      </w:r>
    </w:p>
    <w:p>
      <w:r>
        <w:t>Die Gerichtskosten werden von RA Dr. H._____, … [Adresse], zu Lasten des Nach- lasses bezogen.</w:t>
      </w:r>
    </w:p>
    <w:p>
      <w:r>
        <w:rPr>
          <w:b/>
        </w:rPr>
        <w:t>E. 6</w:t>
      </w:r>
    </w:p>
    <w:p>
      <w:r>
        <w:t>Parteientschädigungen werden nicht zugesprochen.</w:t>
      </w:r>
    </w:p>
    <w:p>
      <w:r>
        <w:rPr>
          <w:b/>
        </w:rPr>
        <w:t>E. 7</w:t>
      </w:r>
    </w:p>
    <w:p>
      <w:r>
        <w:t>[Schriftliche Mitteilung]</w:t>
      </w:r>
    </w:p>
    <w:p>
      <w:r>
        <w:rPr>
          <w:b/>
        </w:rPr>
        <w:t>E. 8</w:t>
      </w:r>
    </w:p>
    <w:p>
      <w:r>
        <w:t>Weiter bringen die Berufungskläger – konkret erstmals in der Berufung – vor, dass die Anfechtung der Willensvollstreckung der Einsetzung des Willens- vollstreckers als Erbschaftsverwalter entgegenstehe. Diesbezüglich ist daher le- diglich darauf hinzuweisen, dass der Auffassung der Berufungskläger, dass die gerichtliche Anfechtung des Testaments als Ablehnungsgrund genüge, wenn bei der Ungültigkeitsklage auch die Frage eines Willensmangels des Erblassers be- züglich der Vertrauenswürdigkeit und die Unabhängigkeit des Willensvollstreckers Thema sei (act. 25 S. 11) nicht ohne Weiteres zu folgen wäre und die Anfechtung der Einsetzung des Willensvollstreckers keinen Einfluss auf deren Bestand hat. Dazu kann auf die zutreffenden Erwägungen der Vorinstanz verwiesen werden (vgl. act. 19 = act. 24, je Erw. 3.3.1). Dies ist so auch dem zur Untermauerung dieses Standpunktes angeführten Literaturverweis (Tuor/Picenoni in: BK Art. 554 ZGB N 12) nicht zu entnehmen, zumal dort primär auch auf den allgemeinen Hin- derungsgrund (Fehlen der nötigen Eigenschaften, Interessenkonflikt) verwiesen</w:t>
      </w:r>
    </w:p>
    <w:p>
      <w:r>
        <w:t>- 11 - wird und im vorgenannten Zusammenhang hauptsächlich noch einmal der Siche- rungszweck der Erbschaftsverwaltung und auch die Möglichkeit des Erblassers, mit der Auswahl des Willensvollstreckers auch die mit der Erbschaftsverwaltung zu betrauende Person zu wählen, thematisiert wird.</w:t>
      </w:r>
    </w:p>
    <w:p>
      <w:r>
        <w:rPr>
          <w:b/>
        </w:rPr>
        <w:t>E. 9</w:t>
      </w:r>
    </w:p>
    <w:p>
      <w:r>
        <w:t>Zum von den Berufungsklägern aufgeworfenen "Anschein der Befangenheit" (act. 25 S. 12) ist mit dem von den Berufungsklägern zitierten Entscheid der Kammer vom 17. Oktober 1991 (der allerdings in anderem Zusammenhang erging, vgl. ZR 91/92 119 E. 5a Nr. 31) noch einmal zu betonen, dass Umstände vorliegen müssen, die objektiv die Eignung zur gehörigen Mandatsführung beein- trächtigen können, was bei einem gespannten Verhältnis oder dem blossen Miss- trauen der Erben gegenüber dem Willensvollstrecker noch nicht gegeben ist. Sol- che einschlägigen Umstände sind vorliegend – insbesondere für den jetzigen Zeitpunkt – nicht ersichtlich, auch wenn die Berufungskläger an dieser Stelle nun – ebenfalls neu und ohne die Nennung von Belegen – von einem "tatsächlichen Auftragsverhältnis" (was auch immer mit dieser Aussage konkret gemeint sein soll) zwischen der Berufungsbeklagten 1 und dem Willensvollstrecker ausgehen wollen. Allein aufgrund dessen, dass der Willensvollstrecker Jahre vor dem Tod der Erblasserin mit einer (späteren) Erbin mehr Kontakt gehabt haben mag als mit den anderen (späteren) Erben, sagt jedenfalls nichts über dessen Vertrauenswür- digkeit und damit auch nichts über die Eignung des Willensvollstreckers als Erb- schaftsverwalter aus.</w:t>
      </w:r>
    </w:p>
    <w:p>
      <w:r>
        <w:rPr>
          <w:b/>
        </w:rPr>
        <w:t>E. 10</w:t>
      </w:r>
    </w:p>
    <w:p>
      <w:r>
        <w:t>Die im Weiteren geäusserte Kritik der Berufungskläger an der vorinstanzli- chen Argumentation, nach welcher die Anordnung der Erbschaftsverwaltung für alle Erben des vorliegenden Nachlasses genügenden Schutz biete (act. 25 S. 12), gründet schliesslich ebenfalls im auch in diesem Zusammenhang bekundeten Misstrauen der Berufungskläger dem Willensvollstrecker gegenüber. Dazu kann daher auf das vorstehend Ausgeführte verwiesen werden (Ziff. II.2 ff.).</w:t>
      </w:r>
    </w:p>
    <w:p>
      <w:r>
        <w:rPr>
          <w:b/>
        </w:rPr>
        <w:t>E. 11</w:t>
      </w:r>
    </w:p>
    <w:p>
      <w:r>
        <w:t>Schriftliche Mitteilung an die Parteien, an die Berufungsbeklagten unter Bei- lage eines Doppels von act. 25, und den Willensvollstrecker RA Dr. H._____, sowie – unter Rücksendung der erstinstanzlichen Akten – an das Einzelgericht im summarischen Verfahren des Bezirksgerichtes Meilen, je gegen Empfangsschein.</w:t>
      </w:r>
    </w:p>
    <w:p>
      <w:r>
        <w:rPr>
          <w:b/>
        </w:rPr>
        <w:t>E. 12</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rund Fr. 5 Mio. Die Beschwerde an das Bundesgericht hat keine aufschiebende Wirkung. Obergericht des Kantons Zürich II. Zivilkammer Der Gerichtsschreiber: lic. iur. D. Oehninger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