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LF120045 vom 9. August 2012</w:t>
      </w:r>
    </w:p>
    <w:p>
      <w:r>
        <w:t>ZH Obergericht, 2012-08-09, DE</w:t>
      </w:r>
    </w:p>
    <w:p>
      <w:r>
        <w:rPr>
          <w:b/>
        </w:rPr>
        <w:t xml:space="preserve">Quelle: </w:t>
      </w:r>
      <w:r>
        <w:t>https://mcp.opencaselaw.ch/entscheid/zh_obergericht_LF120045</w:t>
      </w:r>
    </w:p>
    <w:p>
      <w:r>
        <w:t>FR: ZH_OBERGERICHT LF120045 du 9 août 2012</w:t>
      </w:r>
    </w:p>
    <w:p>
      <w:r>
        <w:t>IT: ZH_OBERGERICHT LF120045 del 9 agosto 2012</w:t>
      </w:r>
    </w:p>
    <w:p>
      <w:pPr>
        <w:pStyle w:val="Heading2"/>
      </w:pPr>
      <w:r>
        <w:t>Erwägungen</w:t>
      </w:r>
    </w:p>
    <w:p>
      <w:r>
        <w:rPr>
          <w:b/>
        </w:rPr>
        <w:t>E. 1</w:t>
      </w:r>
    </w:p>
    <w:p>
      <w:r>
        <w:t>Meine Kinder … setze ich zu Gunsten meiner Ehefrau auf den Pflichtteil, jedoch mit der Massgabe, dass jedes Kind mindestens Fr. 50'000.– (…) erhalten soll. Gewährte Vorempfänge sind damit zu verrechnen.</w:t>
      </w:r>
    </w:p>
    <w:p>
      <w:r>
        <w:rPr>
          <w:b/>
        </w:rPr>
        <w:t>E. 2</w:t>
      </w:r>
    </w:p>
    <w:p>
      <w:r>
        <w:t>Die Berufungsklägerin macht mit der Berufung neu geltend, dass sie zugunsten der Kinder des Erblassers auf die ihr als Vorerbschaft zugewendete Quote der Erbschaft verzichte. Sie erachtet deshalb die Anordnung des Sicherungsinventars als obsolet. Die Abtretung eines Erbteils an einen Miterben ist zulässig. Sie erfordert den Aus- tausch gegenseitiger übereinstimmender Willensäusserungen, wobei das Gesetz Schriftlichkeit verlangt (Art. 635 Abs. 1 ZGB). Da mit einem Erbteil nicht nur Akti- ven, sondern auch Passiven übergehen, kann nach Art. 13 OR auch die Unter- schrift des übernehmenden Erben erforderlich sein (BGE 101 II 222 Erw. 6c S. 231). Die Abtretung kann sich auf den Bruchteil einer Nachlassquote be- schränken (PraxKomm Erbrecht-Mabillard, Art. 635 ZGB N 3 ff.). In der mit der Berufungsschrift eingereichten Erklärung vom 10. Juli 2012 verzich- tet die Berufungsklägerin zugunsten der Kinder des Erblassers auf die ihr als Vor- erbschaft zugewendete Quote der Erbschaft und tritt damit sinngemäss den be- treffenden Teil ihrer Erbquote an die Kinder des Erblassers ab (act. 17/6). In ihrer dem Vertreter der Berufungsklägerin übergebenen, vom 10. Juli 2012 datierten Erklärung haben die Kinder des Erblassers der Abtretung sinngemäss zugestimmt (act. 17/8).</w:t>
      </w:r>
    </w:p>
    <w:p>
      <w:r>
        <w:t>- 6 - Mit der Abtretung der der Berufungsklägerin als Vorerbschaft zugewendeten Erbquote an die Kinder des Erblassers ist die Grundlage für die Anordnung der Inventaraufnahme entfallen. Zu erwähnen bleibt, dass der Erblasser nicht die "Kinder", sondern die "Nach- kommen" als Nacherben eingesetzt hat. Dies ist allerdings unerheblich. Falls der Erblasser mit den Nachkommen auch die Kindeskinder meinte, ist davon auszu- gehen, dass er diese nur als Ersatznacherben einsetzte für den Fall, dass die Kinder nicht zur Erbschaft kommen würden (Art. 492 Abs. 2 ZGB). Die Berufung ist somit gutzuheissen und die vorinstanzliche Anordnung der Inven- taraufnahme (Dispositiv-Ziffer 1 des angefochtenen Urteils) aufzuheben. III. Die von der Berufungsklägerin nicht beanstandete erstinstanzliche Kostenrege- lung ist zu bestätigen. Auch die Kosten des zweitinstanzlichen Verfahrens sind auf Rechnung des Nachlasses von der Willensvollstreckerin (Berufungsklägerin) zu beziehen.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