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LF120040 vom 9. August 2012</w:t>
      </w:r>
    </w:p>
    <w:p>
      <w:r>
        <w:t>ZH Obergericht, 2012-08-09, DE</w:t>
      </w:r>
    </w:p>
    <w:p>
      <w:r>
        <w:rPr>
          <w:b/>
        </w:rPr>
        <w:t xml:space="preserve">Quelle: </w:t>
      </w:r>
      <w:r>
        <w:t>https://mcp.opencaselaw.ch/entscheid/zh_obergericht_LF120040</w:t>
      </w:r>
    </w:p>
    <w:p>
      <w:r>
        <w:t>FR: ZH_OBERGERICHT LF120040 du 9 août 2012</w:t>
      </w:r>
    </w:p>
    <w:p>
      <w:r>
        <w:t>IT: ZH_OBERGERICHT LF120040 del 9 agosto 2012</w:t>
      </w:r>
    </w:p>
    <w:p>
      <w:pPr>
        <w:pStyle w:val="Heading2"/>
      </w:pPr>
      <w:r>
        <w:t>Erwägungen</w:t>
      </w:r>
    </w:p>
    <w:p>
      <w:r>
        <w:rPr>
          <w:b/>
        </w:rPr>
        <w:t>E. 4</w:t>
      </w:r>
    </w:p>
    <w:p>
      <w:r>
        <w:t>Schriftliche Mitteilung an die Berufungskläger sowie – unter Rücksendung der erstinstanzlichen Akten – an das Bezirksgericht Zürich, Einzelgericht Erbschaftssachen, je gegen Empfangsschein.</w:t>
      </w:r>
    </w:p>
    <w:p>
      <w:r>
        <w:t>- 7 -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670'217.--. Die Beschwerde an das Bundesgericht hat keine aufschiebende Wirkung. Obergericht des Kantons Zürich II. Zivilkammer Die Gerichtsschreiberin: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