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LF120017 vom 16. April 2012</w:t>
      </w:r>
    </w:p>
    <w:p>
      <w:r>
        <w:t>ZH Obergericht, 2012-04-16, DE</w:t>
      </w:r>
    </w:p>
    <w:p>
      <w:r>
        <w:rPr>
          <w:b/>
        </w:rPr>
        <w:t xml:space="preserve">Quelle: </w:t>
      </w:r>
      <w:r>
        <w:t>https://mcp.opencaselaw.ch/entscheid/zh_obergericht_LF120017</w:t>
      </w:r>
    </w:p>
    <w:p>
      <w:r>
        <w:t>FR: ZH_OBERGERICHT LF120017 du 16 avril 2012</w:t>
      </w:r>
    </w:p>
    <w:p>
      <w:r>
        <w:t>IT: ZH_OBERGERICHT LF120017 del 16 aprile 2012</w:t>
      </w:r>
    </w:p>
    <w:p>
      <w:pPr>
        <w:pStyle w:val="Heading2"/>
      </w:pPr>
      <w:r>
        <w:t>Erwägungen</w:t>
      </w:r>
    </w:p>
    <w:p>
      <w:r>
        <w:rPr>
          <w:b/>
        </w:rPr>
        <w:t>E. 1</w:t>
      </w:r>
    </w:p>
    <w:p>
      <w:r>
        <w:t>Am tt.mm.2011 verstarb B._____ mit letztem Wohnsitz in C._____. Als gesetz- liche Erben hinterliess sie ihren Ehemann und die Eltern. Dem Einzelgericht in Erbschaftssachen des Bezirksgerichtes Zürich wurden ein Ehe- und Erbvertrag vom 12. September 2011 und ein Testament vom 13. September 2011 einge- reicht. Im Testaments- und Erbvertragseröffnungsurteil vom 5. Januar 2012 erwog das Einzelgericht im Wesentlichen, dass die Erblasserin im Erbvertrag sinngemäss den Vater auf den Pflichtteil gesetzt habe und dass ihr Ehemann zu Gunsten ihrer Mutter für sich und seine Nachkommen ausdrücklich auf erb- und pflichtteilsrecht- liche Ansprüche verzichtet habe; im Testament habe die Erblasserin alle bis dahin errichteten letztwilligen Verfügungen aufgehoben, die Mutter als Alleinerbin mit einer Auflage eingesetzt und Vermächtnisse ausgesetzt. Somit gelange die Mutter der Erblasserin zur alleinigen Erbfolge. Das Einzelgericht ordnete an, dass den Beteiligten je eine Kopie des Testamentes und des Erbvertrages zugestellt werde. Der Mutter der Erblasserin stellte es in Aussicht, ihr auf Verlangen einen auf sie als Alleinerbin lautenden Erbschein auszustellen, sofern dagegen seitens des Va- ters der Erblasserin nicht innert Monatsfrist, von der Zustellung des Urteils an ge- rechnet, durch Eingabe an das Einzelgericht Einsprache erhoben werde. Schliesslich merkte das Einzelgericht vor, dass die von der Erblasserin bestimmte Willensvollstreckerin das Mandat abgelehnt habe (act. 1/1).</w:t>
      </w:r>
    </w:p>
    <w:p>
      <w:r>
        <w:rPr>
          <w:b/>
        </w:rPr>
        <w:t>E. 2</w:t>
      </w:r>
    </w:p>
    <w:p>
      <w:r>
        <w:t>Mit Eingabe an das Einzelgericht vom 6. Februar 2012 erhob der Vater der Erb- lasserin Einsprache gegen die Ausstellung des in Aussicht gestellten Erbscheins (act. 2). Das Einzelgericht nahm davon mit Verfügung vom 14. Februar 2012 Vormerk, hielt fest, dass, solange die Einsprache zu Recht bestehe, kein Erb- schein ausgestellt werde, und ordnete die Erbschaftsverwaltung an, mit der es den Notar des Kreises D._____ beauftragte. Es verwies dazu auf Art. 556 Abs. 3 ZGB und ständige Gerichtspraxis (act. 6).</w:t>
      </w:r>
    </w:p>
    <w:p>
      <w:r>
        <w:t>- 3 -</w:t>
      </w:r>
    </w:p>
    <w:p>
      <w:r>
        <w:rPr>
          <w:b/>
        </w:rPr>
        <w:t>E. 3</w:t>
      </w:r>
    </w:p>
    <w:p>
      <w:r>
        <w:t>wenn nicht alle Erben des Erblassers bekannt sind;</w:t>
      </w:r>
    </w:p>
    <w:p>
      <w:r>
        <w:rPr>
          <w:b/>
        </w:rPr>
        <w:t>E. 4</w:t>
      </w:r>
    </w:p>
    <w:p>
      <w:r>
        <w:t>Aufl., Art. 554 N 2).</w:t>
      </w:r>
    </w:p>
    <w:p>
      <w:r>
        <w:t>- 5 - 2. Wird eine letztwillige Verfügung eingeliefert, so wird unter dem Gesichtspunkt von Art. 556 Abs. 3 ZGB dann von der Anordnung der Erbschaftsverwaltung ab- zusehen sein, wenn die Verfügung keine Erbeneinsetzung enthält. Hingegen ist die Anordnung der Erbschaftsverwaltung grundsätzlich in Betracht zu ziehen, wenn nichtgesetzliche Erben eingesetzt oder gesetzliche Erben ausgeschlossen werden. Der Eröffnungsrichter verfügt bei seinem Entscheid über die Anordnung der Erbschaftsverwaltung über einen Ermessensspielraum. Ausschlaggebend ist die Beurteilung der Gefahr einer Beeinträchtigung des Erbganges für den Fall, dass die Erbschaft einstweilen den gesetzlichen Erben überlassen bleibt (BGer 5A_758/2007 vom 3. Juni 2008, Erw. 2.2). Die Anordnung der Erbschaftsverwaltung wird in der Regel als geboten erachtet, wenn gegen die Ausstellung der Erbbescheinigung an die eingesetzten Erben durch die gesetzlichen Erben Einsprache nach Art. 559 ZGB erhoben wurde (BSK ZGB II-Karrer/Vogt/Leu, 4. Aufl., Art. 556 N 28; Pestalozzi-Früh, Vorsorgliche Massnahmen und besondere Vorkehrungen im Erbrecht, in AJP 2011 S. 599 ff., insbes. S. 602/603; Strazzer, Der virtuelle Erbe - eine Rechtsfigur mit prozessua- len Tücken für den Anwalt …, in successio 2010, S. 147 ff. insbes. S. 148 FN 7; Weber, Gerichtliche Vorkehren bei der Nachlassabwicklung, in AJP 1997 S. 550 ff., insbes. S. 557/558; ZR 62 Nr. 75 S. 206 linke Sp.; ZR 66 Nr. 99 S. 188). Im vorliegenden Fall sind die Verhältnisse anders gelagert. Der potentiel- le Konflikt besteht nicht im Verhältnis zwischen gesetzlichen und eingesetzten Er- ben, sondern zwischen ausgeschlossenem und begünstigtem Pflichtteilserben. Das Bedürfnis nach Sicherung des Erbganges durch Anordnung der Erbschafts- verwaltung ist aber ähnlich. Gründe, die die Erbschaftsverwaltung im konkreten Fall als unnötig erscheinen liessen, sind nicht ersichtlich. Die Massnahme ist, selbst wenn der Nachlass, wie behauptet wird, im Wesentlichen nur aus drei Bankkonten besteht, nicht unnötig (act. 7 S. 3); die Erblasserin hatte immerhin im Jahre 2009 mit dem Ehemann zu- sammen ein satzbestimmendes Vermögen von Fr. 133'000.– zu versteuern (act. 1/5). Eine Einigung zwischen der Berufungsklägerin und dem Vater der Erb- lasserin wurde bis heute nicht erzielt, auch wenn die Berufungsklägerin den</w:t>
      </w:r>
    </w:p>
    <w:p>
      <w:r>
        <w:t>- 6 - Pflichtteilsanspruch des Vaters der Erblasserin grundsätzlich zu anerkennen scheint (act. 7 S. 4 und 5). Die von der Erblasserin bestimmte Willensvollstrecke- rin hat das Mandat abgelehnt. Die Berufung gegen die Anordnung der Erbschaftsverwaltung ist deshalb abzu- weisen. Der Vorwurf, die Anordnung der Erbschaftsverwaltung lasse den Bezug zum konkreten Sachverhalt vermissen, ist unbegründet (act. 7 S. 4 und 6). Auch der Einwand, die Massnahme stelle einen unzulässigen Eingriff in die Persönlich- keitsrechte der Erblasserin und der Berufungsklägerin dar, geht fehl. IV. Eventualiter beantragt die Berufungsklägerin, "die Willensvollstreckung wieder einzusetzen". Sie macht geltend, gemäss Art. 554 Abs. 2 ZGB sei dem Willens- vollstrecker die Verwaltung zu übergeben. Die testamentarisch eingesetzte Wil- lensvollstreckerin habe unter den nicht eingehaltenen Versprechungen des von der Erbschaft ausgeschlossenen Vaters der Erblasserin, keine Einsprache einzu- reichen, auf ihr Mandat verzichtet. Da sie unter fadenscheinigen, falschen und treuwidrigen Versprechungen zur "Aufgabe" überredet worden sei, wäre es im Sinne von Treu und Glauben richtig und im Sinne des Gesetzgebers, sie wieder einzusetzen (act. 7 S. 3 und 5). Falls der Eventualantrag in dem Sinn zu verstehen ist, dass die eingesetzte Wil- lensvollstreckerin mit der Erbschaftsverwaltung beauftragt werden soll (Art. 554 Abs. 2 ZGB), ist er unbegründet. Die bei den Akten liegende Erklärung vom 3. Ja- nuar 2011 (richtig: 2012), worin E._____ die Nichtannahme des Willensvollstre- ckermandats erklärt, ist unmissverständlich und wird zudem unter anderem auch damit begründet, dass die Willensvollstreckerin die Aufgabe aus persönlichen Gründen nicht annehmen könne (act. 1/4). Sollte der Antrag dagegen dem Wortlaut entsprechend darauf abzielen, E._____ wieder als Willensvollstreckerin einzusetzen, da ihre Nichtannahmeerklärung mit einem Willensmangel behaftet sei, so wäre darauf nicht einzutreten. Was nicht</w:t>
      </w:r>
    </w:p>
    <w:p>
      <w:r>
        <w:t>- 7 - Gegenstand des erstinstanzlichen Verfahrens war, kann nicht zum Gegenstand des Rechtsmittelverfahrens gemacht werden. V. Zusammenfassend ist festzuhalten, dass die Berufung abzuweisen ist, soweit da- rauf eingetreten werden kann. Ausgangsgemäss wird die Berufungsklägerin kos- tenpflichtig. Die Erbschaftsverwaltung als Sicherungsmassregel betrifft den ganzen Nachlass. Der Streitwert bestimmt sich deshalb nach dem Bruttowert der Aktiven (Diggel- mann, DIKE-Komm-ZPO, Art. 91 N 29). Als Anhaltspunkt dafür dient der bei den Akten liegende Steuerausweis vom 16. Dezember 2011, wonach die Erblasserin und ihr Ehemann in der Steuerperiode 2009 über ein satzbestimmendes Vermö- gen von Fr. 133'000.– verfügten (act. 1/5).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