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LF110127 vom 17. Januar 2012</w:t>
      </w:r>
    </w:p>
    <w:p>
      <w:r>
        <w:t>ZH Obergericht, 2012-01-17, DE</w:t>
      </w:r>
    </w:p>
    <w:p>
      <w:r>
        <w:rPr>
          <w:b/>
        </w:rPr>
        <w:t xml:space="preserve">Quelle: </w:t>
      </w:r>
      <w:r>
        <w:t>https://mcp.opencaselaw.ch/entscheid/zh_obergericht_LF110127</w:t>
      </w:r>
    </w:p>
    <w:p>
      <w:r>
        <w:t>FR: ZH_OBERGERICHT LF110127 du 17 janvier 2012</w:t>
      </w:r>
    </w:p>
    <w:p>
      <w:r>
        <w:t>IT: ZH_OBERGERICHT LF110127 del 17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Sachverhalt und Prozessgeschichte</w:t>
      </w:r>
    </w:p>
    <w:p>
      <w:r>
        <w:rPr>
          <w:b/>
        </w:rPr>
        <w:t>E. 1.1</w:t>
      </w:r>
    </w:p>
    <w:p>
      <w:r>
        <w:t>Am tt.mm.2011 verstarb die am tt.mm.1938 geborene D._____. Als gesetzli- che Erben hinterliess sie ihren Ehemann, E._____, sowie ihre Kinder A._____, B._____ und C._____ (act. 4/3). Mit Eingaben vom 11. September 2011 an das Einzelgericht in Erbschaftssachen des Bezirkes Zürich schlugen die drei Kinder (im Folgenden: Berufungskläger) die Erbschaft unbedingt und vorbehaltlos aus (act. 1-3).</w:t>
      </w:r>
    </w:p>
    <w:p>
      <w:r>
        <w:rPr>
          <w:b/>
        </w:rPr>
        <w:t>E. 1.2</w:t>
      </w:r>
    </w:p>
    <w:p>
      <w:r>
        <w:t>Das Einzelgericht in Erbschaftssachen des Bezirkes Zürich nahm die Aus- schlagungserklärungen mit Urteil vom 17. November 2011 (act. 10 = act. 12) zu Protokoll (Dispositivziffer 1). Überdies zog es in Betracht, dass der Sohn der Be- rufungsklägerin 3, F._____, als Erbe an deren Stelle trete. Dementsprechend stellte es E._____ und F._____ nach unbenütztem Ablauf der Berufungsfrist auf Verlangen eine auf sie lautende Erbbescheinigung in Aussicht (Dispositivziffer 2). Es setzte die Kosten auf Fr. 452.-- fest und auferlegte sie den Berufungsklägern je zu einem Drittel (Dispositivziffern 3 und 4).</w:t>
      </w:r>
    </w:p>
    <w:p>
      <w:r>
        <w:rPr>
          <w:b/>
        </w:rPr>
        <w:t>E. 1.3</w:t>
      </w:r>
    </w:p>
    <w:p>
      <w:r>
        <w:t>Gegen diesen Entscheid erhoben die Berufungskläger mit Eingabe vom 7. Dezember 2011 (Datum Poststempel: 8. Dezember 2011; act. 11) rechtzeitig Berufung (vgl. act. 8). Es wurde ihnen mit Präsidialverfügung vom 14. Dezember 2011 (act. 13) ein Kostenvorschuss von je Fr. 500.-- auferlegt. Die betreffenden Beträge wurden von den Berufungsklägern bei der Obergerichtskasse einbezahlt (act. 15-17).</w:t>
      </w:r>
    </w:p>
    <w:p>
      <w:r>
        <w:rPr>
          <w:b/>
        </w:rPr>
        <w:t>E. 2</w:t>
      </w:r>
    </w:p>
    <w:p>
      <w:r>
        <w:t>Zur Berufung</w:t>
      </w:r>
    </w:p>
    <w:p>
      <w:r>
        <w:rPr>
          <w:b/>
        </w:rPr>
        <w:t>E. 2.1</w:t>
      </w:r>
    </w:p>
    <w:p>
      <w:r>
        <w:t>Die Berufungskläger verlangen die Aufhebung des angefochtenen Urteils und eine neue Entscheidung durch die Rechtsmittelinstanz (act. 11 S. 2). Zur Be- gründung führen sie an, sie hätten die ihnen zugefallene Erbschaft nicht aus- schlagen, sondern ihren Vater als überlebenden Elternteil finanziell möglichst gut absichern und ihm deshalb die Nachlasswerte zu Alleineigentum überlassen wol- len. Die protokollierten Ausschlagungserklärungen würden auf einem Grundla-</w:t>
      </w:r>
    </w:p>
    <w:p>
      <w:r>
        <w:t>- 3 - genirrtum beruhen und seien daher unbeachtlich. Im Übrigen hätten sich die Be- rufungskläger bereits in die Nachlassangelegenheiten der Verstorbenen einge- mischt. Insbesondere hätten sie Erinnerungsstücke aus dem Eigentum ihrer Mut- ter an sich genommen und damit das Recht auf Ausschlagung faktisch verwirkt (act. 11 S. 2 f.).</w:t>
      </w:r>
    </w:p>
    <w:p>
      <w:r>
        <w:rPr>
          <w:b/>
        </w:rPr>
        <w:t>E. 2.2</w:t>
      </w:r>
    </w:p>
    <w:p>
      <w:r>
        <w:t>und 2.4). Mit anderen Worten kann aus der Protokollierung oder Nichtproto- kollierung einer Ausschlagungserklärung nicht darauf geschlossen werden, ob diese rechtsbeständig ist oder nicht (BSK ZGB II-Schwander, Art. 570 N 14). Die Berufungskläger können sich folglich ungeachtet des Urteils vom 17. November 2011 auf einen Grundlagenirrtum und die Verwirkung der Ausschlagungsbefugnis</w:t>
      </w:r>
    </w:p>
    <w:p>
      <w:r>
        <w:t>- 4 - durch Einmischung berufen. Die Erfolgsaussichten diesbezüglich sind hier offen zu lassen. Hinsichtlich der Wirkung einer (rechtsgültigen) Ausschlagung ist auf Art. 572 Abs. 1 ZGB zu verweisen: Wenn einer unter mehreren Erben die Erbschaft aus- schlägt und die Erblasserin keine Verfügung von Todes wegen hinterlässt, vererbt sich dessen Anteil, wie wenn er den Erbfall nicht erlebt hätte. Hat die ausschla- gende Person keine Nachkommen (vgl. Art. 457 Abs. 3 ZGB), so fällt ihr Anteil den gesetzlichen Miterben (proportional im Verhältnis zu ihren Erbanteilen) zu (BSK ZGB II-Schwander, Art. 573 N 8). Unter der Annahme, dass die Berufungs- kläger die Erbschaft von D._____ rechtsgültig ausgeschlagen hätten, würde der Erbteil von E._____ ¾ und derjenige von F._____ ¼ des Nachlasses betragen.</w:t>
      </w:r>
    </w:p>
    <w:p>
      <w:r>
        <w:rPr>
          <w:b/>
        </w:rPr>
        <w:t>E. 2.3</w:t>
      </w:r>
    </w:p>
    <w:p>
      <w:r>
        <w:t>Lediglich ergänzend bleibt Folgendes festzuhalten: Geht bei der zuständigen Behörde – im Kanton Zürich das Einzelgericht am Bezirksgericht (§ 137 lit. e GOG) – eine Ausschlagungserklärung ein, so ist diese zu protokollieren (Art. 570 Abs. 1 und 3 ZGB). Dabei ist nicht zu prüfen, ob die Ausschlagungserklärung gül- tig ist. Das Protokoll im Sinne von Art. 570 Abs. 3 ZGB dient nur als Beweis für die Abgabe und den Zeitpunkt der Ausschlagungserklärung, hat aber keinerlei Rechtskraftwirkung (Urteil 5A_578/2009 des BGer vom 12. Oktober 2009, Erw.</w:t>
      </w:r>
    </w:p>
    <w:p>
      <w:r>
        <w:rPr>
          <w:b/>
        </w:rPr>
        <w:t>E. 3</w:t>
      </w:r>
    </w:p>
    <w:p>
      <w:r>
        <w:t>Kostenfolgen Dem Ausgang des Berufungsverfahrens entsprechend ist die in Anwendung von § 8 Abs. 3 in Verbindung mit § 12 GebV OG festzusetzende Entscheidgebühr den Berufungsklägern je zu einem Drittel aufzuerlegen (Art. 106 Abs. 1 und 3 ZPO). Sie ist mit den von ihnen geleisteten Kostenvorschüssen zu verrechnen (Art. 111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