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LE250035 vom 28. Januar 2026</w:t>
      </w:r>
    </w:p>
    <w:p>
      <w:r>
        <w:t>ZH Obergericht, 2026-01-28, DE</w:t>
      </w:r>
    </w:p>
    <w:p>
      <w:r>
        <w:rPr>
          <w:b/>
        </w:rPr>
        <w:t xml:space="preserve">Quelle: </w:t>
      </w:r>
      <w:r>
        <w:t>https://mcp.opencaselaw.ch/entscheid/zh_obergericht_LE250035</w:t>
      </w:r>
    </w:p>
    <w:p>
      <w:r>
        <w:t>FR: ZH_OBERGERICHT LE250035 du 28 janvier 2026</w:t>
      </w:r>
    </w:p>
    <w:p>
      <w:r>
        <w:t>IT: ZH_OBERGERICHT LE250035 del 28 gennaio 2026</w:t>
      </w:r>
    </w:p>
    <w:p>
      <w:pPr>
        <w:pStyle w:val="Heading2"/>
      </w:pPr>
      <w:r>
        <w:t>Erwägungen</w:t>
      </w:r>
    </w:p>
    <w:p>
      <w:r>
        <w:rPr>
          <w:b/>
        </w:rPr>
        <w:t>E. 1</w:t>
      </w:r>
    </w:p>
    <w:p>
      <w:r>
        <w:t>Die Parteien sind die verheirateten Eltern des am tt.mm.2014 geborenen A._____ (Verfahrensbeteiliger und Erstberufungskläger, fortan Verfahrens- beteiligter/A._____). Sie leben seit Mitte Juni 2022 getrennt (Urk. 7/50 S. 1). Mit Eingabe vom 5. April 2023 machte die Gesuchstellerin, Erstberufungsbeklagte und Zweitberufungsklägerin (fortan Gesuchstellerin) das vorliegende Eheschutz- verfahren bei der Vorinstanz anhängig (Urk. 7/2), wobei sie in der Hauptsache unter anderem darum ersucht, den Aufenthaltsort des Verfahrensbeteiligten nach E._____, Italien, verlegen zu dürfen (Urk. 7/10 S. 4; Urk. 7/29 S. 1). Mit Verfügung vom 2. Februar 2024 wurde der Verfahrensbeteiligte superprovisorisch unter die alleinige Obhut der Gesuchstellerin gestellt, ein wöchentlich begleitetes Besuchs- recht für den Gesuchsgegner, Erstberufungsbeklagten und Zweitberufungsbe- klagten (fortan Gesuchsgegner) angeordnet und eine Beistandschaft für den Verfahrensbeteiligten errichtet, da es als glaubhaft erachtet wurde, dass der Gesuchsgegner diesen geschlagen hatte (Urk. 7/50). Mit Verfügung vom 17. April 2024 wurde das begleitete Besuchsrecht für die weitere Dauer des Eheschutz- verfahrens bestätigt. Ferner gab die Vorinstanz bei MMag. F._____ ein</w:t>
      </w:r>
    </w:p>
    <w:p>
      <w:r>
        <w:t>- 7 - lösungsorientiertes Gutachten in Auftrag (Urk. 7/72). Mit Verfügung vom 2. Ok- tober 2024 wurde den Parteien die Weisung erteilt, ein Elterncoaching zu besu- chen und die Weiterführung des begleiteten Besuchsrechts verfügt (Urk. 7/95). Mit Verfügung vom 29. Oktober 2024 wurde Rechtsanwalt X._____ als Kindesvertreter bestellt (Urk. 7/101). Das Gutachten wurde im Januar 2025 erstattet (Urk. 7/107). Der Gesuchsgegner beantragte mit Eingabe vom 17. März 2025 die sofortige Anordnung eines unbegleiteten Besuchsrechts (Urk. 7/117 S. 2). Am 23. März 2025 begannen die Parteien mit einer KET-Beratung beim Marie Meierhofer Institut für das Kind (MMI; Urk. 4/7 S. 1). Am 16. Juli 2025 erliess die Vorinstanz die eingangs wiedergegebene Verfügung (Urk. 2 S. 8 ff. = Urk. 7/148 S. 8 ff.).</w:t>
      </w:r>
    </w:p>
    <w:p>
      <w:r>
        <w:rPr>
          <w:b/>
        </w:rPr>
        <w:t>E. 2</w:t>
      </w:r>
    </w:p>
    <w:p>
      <w:r>
        <w:t>Dagegen erhoben sowohl der Verfahrensbeteiligte mit Eingabe vom 25. Juli 2025 als auch die Gesuchstellerin mit Eingabe vom 28. Juli 2025 Berufung und ersuchten um Erteilung der aufschiebenden Wirkung (Urk. 1 S. 2; Urk. 5/1 S. 3). Mit Beschluss vom 31. Juli 2025 wurde das Berufungsverfahren LE250036-O (Be- rufung der Gesuchstellerin) mit dem vorliegenden Verfahren vereinigt. Zudem wurde den Parteien und dem Verfahrensbeteiligten Frist angesetzt, um eine Stel- lungnahme zu den Gesuchen um Erteilung der aufschiebenden Wirkung einzurei- chen. Ferner wurde der Gesuchstellerin Frist zur Leistung eines Vorschusses für die Kosten des Berufungsverfahrens angesetzt (Urk. 6). Die Stellungnahmen des Verfahrensbeteiligten und der Gesuchstellerin datieren vom 11. August 2025 und 19. August 2025 (Urk. 8; Urk. 10), jene des Gesuchsgegners vom 21. August 2025 (Urk. 11). Der eingeforderte Kostenvorschuss wurde innert Frist geleistet (vgl. Urk. 9). Mit Verfügung vom 2. September 2025 wurde der Berufung hinsicht- lich Dispositiv-Ziffer 1 und der damit verbundenen Dispositiv-Ziffer 3 Lemma 4 des angefochtenen Entscheides die aufschiebende Wirkung erteilt (Urk. 14). Die mit Verfügung vom 6. Oktober 2025 eingeforderten Berufungsantworten (Urk. 16) gin- gen rechtzeitig ein (Urk. 18, 19 und 22). Nachdem die Berufungsantworten mit Verfügung vom 17. November 2025 (Urk. 23) den jeweiligen Gegenparteien zur Kenntnisnahme zugestellt worden waren, reichten der Verfahrensbeteiligte und die Gesuchstellerin – je innert erstreckter Frist (vgl. Urk. 24; Urk. 25) – am 8. bzw. 9. Dezember 2025 eine weitere Stellungnahme ein (Urk. 26; Urk. 29).</w:t>
      </w:r>
    </w:p>
    <w:p>
      <w:r>
        <w:t>- 8 - Diese Stellungnahmen wurden wiederum mit Verfügung vom 15. Dezember 2025 der jeweiligen Gegenpartei zur Kenntnisnahme zugestellt (Urk. 30). Die in Aus- übung des Replikrechts erfolgten Stellungnahmen vom 17. Dezember 2025 (Urk. 32), vom 5. Januar 2025 (Urk. 34) und vom 12. Januar 2025 (Urk. 35) wur- den in der Folge mit Verfügung vom 13. Januar 2026 der jeweiligen Gegenpartei zur Kenntnisnahme beziehungsweise Ausübung des Replikrechts zugestellt (Urk. 36). Gleichzeitig wurde den Parteien mitgeteilt, dass kein weiterer Schriften- wechsel angeordnet und keine Berufungsverhandlung durchgeführt werde, mithin das Berufungsverfahren spruchreif und somit in die Phase der Urteilsberatung übergegangen sei. Der Kindesvertreter verzichtete mit Eingabe vom 14. Januar 2026 unter Beilage der Zusammenstellung seiner Bemühungen und Barauslagen (Urk. 37-40) auf eine weitere Stellungnahme, ebenso die Gesuchstellerin mit Ein- gabe vom 22. Januar 2025 (Urk. 42). Die Aufstellung der Bemühungen und Bar- auslagen des Kindesvertreters wurde den Parteien mit Verfügung vom 19. Januar 2026 zur Kenntnisnahme zugestellt (Urk. 41). II. 1. Gegenstand des vorliegenden Berufungsverfahrens bilden das Besuchs- recht des Gesuchsgegners und die damit in Zusammenhang stehende Aufgabe der Beiständin. Die Dispositiv-Ziffer 2 sowie die Dispositiv-Ziffer 3 mit Ausnahme von Lemma 4 des vorinstanzlichen Entscheides blieben unangefochten, weshalb diese in Rechtskraft erwachsen sind (Art. 315 Abs. 1 ZPO). Dies ist vorzumerken.</w:t>
      </w:r>
    </w:p>
    <w:p>
      <w:r>
        <w:rPr>
          <w:b/>
        </w:rPr>
        <w:t>E. 2.1</w:t>
      </w:r>
    </w:p>
    <w:p>
      <w:r>
        <w:t>Für das vereinigte Berufungsverfahren rechtfertigt sich in Anwendung von § 12 Abs. 1 und 2 in Verbindung mit § 2, § 5 Abs. 1 und § 6 Abs. 2 lit. b GebV OG eine Entscheidgebühr von Fr. 3'000.–. Die Entschädigung für die Vertretung des Kindes gehört ebenfalls zu den Gerichtskosten (Art. 95 Abs. 2 lit. e ZPO) und ist grundsätzlich im Entscheiddispositiv festzusetzen. Die Bemessung der Entschädi- gung ist bundesrechtlich nicht geregelt. Vielmehr setzen die Kantone die Tarife</w:t>
      </w:r>
    </w:p>
    <w:p>
      <w:r>
        <w:t>- 29 - fest (Art. 96 ZPO). Rechtsgrundlage für die Festsetzung der Entschädigung für die anwaltliche Rechtsvertretung ist im Kanton Zürich die Anwaltsgebührenverord- nung (vgl. BGE 142 III 153 E. 5.3.4.2). Vorliegend erscheint angesichts des not- wenigen Zeitaufwands und der Verantwortung des Kindesvertreters sowie der Schwierigkeit des Falles (vgl. § 2 Abs. 1 AnwGebV) die von ihm geltend ge- machte und von den Parteien nicht beanstandete Entschädigung von insgesamt Fr. 4'911.35 (20.05 Stunden à Fr. 220.–, Barauslagen von Fr. 132.35 und Mehr- wertsteuer von Fr. 368.–; Urk. 40) als angemessen.</w:t>
      </w:r>
    </w:p>
    <w:p>
      <w:r>
        <w:rPr>
          <w:b/>
        </w:rPr>
        <w:t>E. 2.2</w:t>
      </w:r>
    </w:p>
    <w:p>
      <w:r>
        <w:t>Weil es sich um ein familienrechtliches Verfahren handelt, rechtfertigt es sich gestützt auf Art. 107 Abs. 1 lit. c ZPO, der Gesuchstellerin und dem Ge- suchsgegner als Kindeseltern und erstinstanzliche Parteien die Kosten des verei- nigten Berufungsverfahrens, einschliesslich der Kosten der Kindesvertretung (vgl. Art. 95 Abs. 2 lit. e ZPO), je hälftig aufzuerlegen, zumal sie gegenüber A._____ ohnehin beistandspflichtig sind (Art. 272 und Art. 276 Abs. 1 ZGB; vgl. OGer ZH LE210065 vom 13. Mai 2022 E. E; ZR 84 Nr. 41). Die Gerichtskosten sind mit dem von der Gesuchstellerin geleisteten Kostenvorschuss von Fr. 6'000.– (Urk. 9) zu verrechnen (Art. 111 Abs. 1 ZPO). Der Gesuchsgegner ist zu verpflichten, der Gesuchstellerin Fr. 3'000.– zu ersetzen (Art. 111 Abs. 2 ZPO). Parteientschädigungen sind für das Berufungsverfahren keine zuzusprechen. Es wird beschlossen:</w:t>
      </w:r>
    </w:p>
    <w:p>
      <w:r>
        <w:rPr>
          <w:b/>
        </w:rPr>
        <w:t>E. 6</w:t>
      </w:r>
    </w:p>
    <w:p>
      <w:r>
        <w:t>September 2016 E. 5.3; BGer 4A_258/2015 vom 21. Oktober 2015 E. 2.4.3; BGer 4A_290/2014 vom 1. September 2014 E. 3.1 und E. 5). Insofern erfährt der Grundsatz "iura novit curia" (Art. 57 ZPO) im Berufungsverfahren eine Relativie- rung (BK ZPO I-Hurni, Art. 57 N 21 und N 39 ff.; Glasl, DIKE-Komm-ZPO, Art. 57 N 22). In diesem Rahmen ist insoweit auf die Parteivorbringen einzugehen, als dies für die Entscheidfindung erforderlich ist (BGE 134 I 83 E. 4.1 m.w.Hinw.).</w:t>
      </w:r>
    </w:p>
    <w:p>
      <w:r>
        <w:rPr>
          <w:b/>
        </w:rPr>
        <w:t>E. 8</w:t>
      </w:r>
    </w:p>
    <w:p>
      <w:r>
        <w:t>f., 12, 15, 19). Dies gilt es – wie bereits in der Verfügung der Kammer vom 2. September 2025 ausgeführt (Urk. 14 E. 3.6) – zu berücksichtigen. Der Gesuchsgegner macht geltend, der Kindesvertreter vertrete ausschliesslich den vom Verfahrensbeteiligten geäusserten angeblichen Willen, nicht den tat- sächlichen Willen oder gar das objektive Kindeswohl. Indessen seien die Willens- äusserungen des Verfahrensbeteiligten wesentlich durch den Elternkonflikt ge- prägt und nicht ausreichend autonom gebildet. Seine Äusserungen seien als An- passungsstrategie zu verstehen und vor diesem Hintergrund mit besonderer Vor- sicht zu interpretieren. Die Aussagen des Verfahrensbeteiligten zeigten eine hohe Anpassungsbereitschaft und Verantwortungsübernahme für die Gesuchstellerin. Entsprechend könne nicht massgeblich auf den geäusserten (nicht zwingend mit dem tatsächlichen Willen übereinstimmenden) Willen des Verfahrensbeteiligten abgestellt werden (Urk. 19 Rz. 10, 18). Diesbezüglich ist dem Gesuchsgegner entgegenzuhalten, dass sich das Gutachten vom 30. Januar 2025 (Urk. 7/107) mit dieser Thematik explizit befasst. Zum Kindeswillen hinsichtlich der gerichtlichen Fragestellung stellte die Gutachterin auf Seite 79 f. des Gutachtens (Urk. 7/107) fest, zusammenfassend deuteten die Untersuchungsergebnisse darauf hin, dass A._____s Willensäusserungen wesentlich durch den Elternkonflikt geprägt und damit nicht ausreichend autonom gebildet worden seien. Die Äusserungen von A._____ könnten als Anpassungsstrategien verstanden werden und seien vor die-</w:t>
      </w:r>
    </w:p>
    <w:p>
      <w:r>
        <w:t>- 23 - sem Hintergrund mit besonderer Vorsicht zu interpretieren. Sie dürften aber auch nicht völlig unberücksichtigt gelassen werden. A._____s Sichtweise basiere durchaus auch auf eigenen Erfahrungen und seinem Beziehungserleben zu den Eltern und diene im Elternkonflikt v.a. der Situationskontrolle. Ein vollständiges Ignorieren seiner Wünsche würde zu einem Kontrollverlust führen, wäre mit ho- hem Stresserleben und Verunsicherungen verbunden und würde die kindliche Selbstwirksamkeit gefährden. Im Rahmen ihrer Empfehlungen für die zukünftige Betreuungsregelung erachtete die Gutachterin eine Übernahme von mehr Betreu- ungsverantwortung durch den Vater v.a. aufgrund des entgegenstehenden Kin- deswillens (der trotz eingeschränkter Autonomie berücksichtigt werden müsse) und der derzeit mangelnden Vertrauensbeziehung zwischen Vater und Kind als nicht empfehlenswert. Mit anderen Worten kam die Gutachterin zu ihren Schlüs- sen in Berücksichtigung des Umstandes, dass A._____s Willensäusserungen we- sentlich durch den elterlichen Konflikt geprägt und daher mit besonderer Vorsicht zu interpretieren sind und dass eine Diskrepanz zwischen seinen verbalen Äusse- rungen in Bezug auf den Gesuchsgegner und seinem Verhalten besteht (Urk. 7/107 S. 79, 85; vgl. auch Urk. 14 E. 3.6). Dieselbe Haltung wird zudem von The- rapeutin G._____ vertreten. In ihrem Bericht vom 8. September 2025 führt sie aus, derzeit äussere A._____ deutliche Sorgen und das Gefühl, nicht bereit für unbegleitete Besuche zu sein und aus klinischer Sicht sei es wichtig, diesen sub- jektiven Eindruck ernst zu nehmen (Urk. 28/10). Auch in der juristischen Literatur wird betont, dass wenn die Weigerungshaltung auf eigenem Erleben des Kindes beruht, beispielsweise auf einem unlösbaren Loyalitätskonflikt, sie nicht einfach übergangen werden darf (BSK ZGB I-Schwenzer/Cottier, Art. 273 N 11). Seine blosse Behauptung, dass unbegleitete Kontakte dem tatsächlichen Willen des Verfahrensbeteiligten entsprechen würden (Urk. 19 Rz. 16, 32, 53), vermag der Gesuchsgegner überdies nicht glaubhaft zu machen. Dagegen spricht zu- nächst, dass der bald zwölfjährige Verfahrensbeteiligte – wie vorstehend ausge- führt – gegenüber drei unterschiedlichen Personen, nämlich dem Kindesvertreter, der Beiständin H._____ und der Therapeutin G._____ über einen mehrmonatigen Zeitraum hinweg konstant und klar kommuniziert hat, dass er sich derzeit nicht in der Lage sehe, unbegleiteten Kontakt zum Gesuchsgegner zu haben (vgl. Urk. 1</w:t>
      </w:r>
    </w:p>
    <w:p>
      <w:r>
        <w:t>- 24 - Rz. 9; Urk. 26 Rz. 8 f., 12, 15, 19; Prot. I S. 120 ;Urk. 28/10). In diesem Zusam- menhang mitzuberücksichtigen gilt es, dass der Kindesvertreter in seiner Stel- lungnahme vom 8. Dezember 2025 nach diversen Gesprächen mit dem Verfah- rensbeteiligten zum Schluss kommt, es gäbe aus seiner Sicht keine Gründe, wel- che beim Verfahrensbeteiligten gegen eine seinem Alter entsprechende volle Ur- teilsfähigkeit in Bezug auf das Kontaktrecht zu seinem Vater sprächen. Auch wenn (was an sich völlig logisch sei) A._____ unter dem massiven Elternkonflikt leide, ändere dies nichts daran, dass seine Willensbildung bzw. seine Willensäus- serungen autonom seien (Urk. 26 Rz. 9 f., 20). Dem gleich äusserte sich auch die Beiständin H._____ zur Frage, ob es sich bei den Äusserungen des Verfahrens- beteiligten um seinen autonomen Willen handle, folgendermassen: Sie sehe schon, dass es seine Meinung sei. Diese äussere er konstant. Er sage immer wie- der, dass er Angst habe und nicht möchte, dass seine Meinung begrenzt werde. Sie erlebe ihn glaubwürdig und konstant in dem was er sage und in den Wün- schen, die er äussere (Prot. I S. 124). Einen vergleichbaren Eindruck hinterliess der Verfahrensbeteiligte schliesslich auch anlässlich der vorinstanzlichen Kinder- anhörung bei der Vorderrichterin (vgl. Urk. 7/54 S. 3). Zwar lassen sich angesichts der gutachterlichen Erkenntnisse die Zweifel an der Autonomie des Willens des Verfahrensbeteiligten nicht ausräumen, Anhaltspunkte für die gesuchsgegneri- sche Annahme, der Verfahrensbeteiligte wäre ohne Weiteres auch mit unbegleite- ten Besuchen einverstanden bzw. würde diese eigentlich sogar begrüssen (Urk. 19 Rz. 32), lassen sich jedoch vorliegend nicht ausmachen. 3.6. Nach dem vorstehend Gesagten ist Dispositiv-Ziffer 1 der angefochtenen Verfügung aufzuheben und das begleitete Besuchsrecht gemäss vorinstanzlicher Verfügung vom 2. Februar 2024, bestätigt mit vorinstanzlicher Verfügung vom 17. April 2024, zu bestätigen. Ausserdem ist Dispositiv-Ziffer 3, Lemma 4, der an- gefochtenen Verfügung in der Konsequenz ersatzlos zu streichen. 3.7. An diesem Ergebnis ändern auch die übrigen Argumente des Gesuchsgeg- ners nichts: a) Der Gesuchsgegner bringt mehrfach vor, aufgrund des vorliegenden Gut- achtens sei klar, dass er nicht gewalttätig gegenüber dem Verfahrensbeteiligten</w:t>
      </w:r>
    </w:p>
    <w:p>
      <w:r>
        <w:t>- 25 - gewesen sei. Da von keiner Kindeswohlgefährdung durch ihn auszugehen sei, seien begleitete Besuche nicht erforderlich (Urk. 19 Rz. 5, 15, 27, 51; vgl. auch Urk. 7/117 Rz. 6). Diese Argumentation des Gesuchsgegners greift zu kurz. Es trifft zwar zu, dass die Gutachterin im Gutachten vom 30. Januar 2025 zum Ergebnis gelangte, die Vorwürfe körperlicher Gewalt oder emotionaler Misshandlung – welche zur super- provisorischen bzw. vorsorglichen Anordnung begleiteter Kontakte geführt haben (vgl. Verfügungen vom 2. Februar 2024 bzw. vom 17. April 2024; Urk. 7/50 und 7/72) – liessen sich nicht belegen; wahrscheinlicher sei es, dass A._____ reale Erlebnisse, Träume oder psychosomatische Symptome infolge extremer Belas- tung umgedeutet habe, um die Mutter im vorliegenden Verfahren zu unterstützen und um den eigenen Loyalitätskonflikt zu lindern (Urk. 7/107 S. 94, 97, 99). Gleichzeitig betonte die Gutachterin jedoch mehrfach, die Vater-Kind-Beziehung sei durch die Vorwürfe schwer beschädigt worden, obwohl die Untersuchungser- gebnisse darauf hinwiesen, dass eigentlich eine gute Beziehung zwischen Vater und Kind bestehe und keine wesentlichen Einschränkungen in den Erziehungs- kompetenzen des Vaters hätten festgestellt werden können. Eine Veränderung des Betreuungsarrangements (unbegleitet, Ausdehnung bis hin zu geteilter Ob- hut) würde aus sachverständiger Hinsicht mit starkem Widerstand des Kindes ein- hergehen, müsste unter Umständen mit Gewalt durchgesetzt werden und würde mit hoher Wahrscheinlichkeit die Beziehung weiter destabilisieren und schlimms- tenfalls zu einem vollständigen Abbruch führen (Urk. 7/107 S. 66, 68, 85, 99). Im Rahmen ihrer Empfehlungen für die zukünftige Betreuungsregelung hielt die Gut- achterin – wie vorstehend bereits ausgeführt (vgl. E. III.3.3) und vom Kindesver- treter und der Gesuchstellerin zu Recht hervorgehoben (vgl. insb. Prot. I S. 138; Urk. 26 Rz. 14; Urk. 7/123 Rz. 6 f.; Urk. 29 Rz. 6) – zudem unmissverständlich fest, trotz der grundsätzlich ausreichenden Erziehungsfähigkeit des Gesuchsgeg- ners seien seine Möglichkeiten, erzieherisch auf A._____ einzuwirken und dem Jungen emotionale Sicherheit und Halt zu vermitteln, derzeit erheblich einge- schränkt. Die Beziehung des Kindes zum Gesuchsgegner sei durch ein hohes Mass an Misstrauen und Verunsicherung belastet. Um der Gefahr eines vollstän- digen Beziehungsabbruchs entgegenzuwirken und wieder eine Vertrauensbezie-</w:t>
      </w:r>
    </w:p>
    <w:p>
      <w:r>
        <w:t>- 26 - hung aufbauen zu können (nicht um eine Kindeswohlgefährdung durch den Ge- suchsgegner zu verhindern), sei eine Unterstützungsmassnahme in Form beglei- teter Besuche weiterhin angezeigt. Eine Übernahme von mehr Betreuungsverant- wortung durch den Gesuchsgegner sei, v.a. aufgrund des entgegenstehenden Willens (der trotz eingeschränkter Autonomie berücksichtigt werden müsse) und der derzeit mangelnden Vertrauensbeziehung zwischen Vater und Kind, nicht empfehlenswert (Urk. 7/107 S. 99). b) Der Gesuchsgegner wendet im Weiteren ein, es müsse nun einmal auspro- biert werden, wie der Verfahrensbeteiligte tatsächlich auf eine Ausdehnung der Besuche bzw. unbegleitete Besuche reagieren würde (Urk. 19 Rz. 16). Ein entsprechender Schritt ist abzulehnen, da er der gutachterlich empfohlenen Vorgehensweise (therapeutische Aufarbeitung vor unbegleiteten Kontakten; vgl. Urk. 7/107 S. 99 f.) zuwiderliefe. c) Der Gesuchsgegner führt aus, aus dem Gutachten ergebe sich klar, dass die Ursachen für die Verschlechterung des Zustandes des Verfahrensbeteiligten auf Seiten der Gesuchstellerin und nicht auf seiner Seite lägen (Urk. 7/107 S. 42 ff., 66 f., 69, 85, 87 ff., 90 f., 97 ff. 102 f.). Entsprechend könne eine Verbes- serung der Situation des Verfahrensbeteiligten nicht durch eine Fortführung des sehr beschränkten und nur begleiteten Besuchsrechtes des Gesuchsgegners er- zielt werden, sondern Massnahmen mit dem Ziel, eine Verbesserung der Situation des Verfahrensbeteiligten zu erreichen, müssten bei der Gesuchstellerin anset- zen. Eine weitere Beschränkung des persönlichen Verkehrs zwischen dem Ge- suchsgegner und dem Verfahrensbeteiligten sei daher nicht geeignet, die beste- hende Kindeswohlgefährdung (welche von der Gesuchstellerin ausgehe) zu behe- ben oder auch nur zu mindern. Sie sei daher nicht verhältnismässig und nicht zu rechtfertigen (Urk. 19 Rz. 6, 19, 44, 47, 55; vgl. auch Urk. 7/131 Rz. 7, 20). Dieses Vorbringen des Gesuchsgegners zielt ins Leere. Vorliegend steht erstens nicht die Erziehungsfähigkeit der Gesuchstellerin, sondern die Frage zur Diskus- sion, ob die Vorinstanz zu Recht ab Oktober 2025 die begleiteten Besuche des Gesuchsgegners in unbegleitete überführte. Zweitens ist darauf hinzuweisen,</w:t>
      </w:r>
    </w:p>
    <w:p>
      <w:r>
        <w:t>- 27 - dass die Gutachterin im Gutachten vom 30. Januar 2025 explizit resümierte, trotz der beschriebenen leicht eingeschränkten Erziehungsfähigkeit der Gesuchstel- lerin (Urk. 7/107 S. 98) sei ein Verbleib des Kindes in der Obhut der Gesuchstel- lerin aufgrund der festgestellten Beziehung, des kindlichen Willens und aus Konti- nuitätsgründen derzeit mit dem Kindeswohl am Besten vereinbar (Urk. 7/107 S. 100). Die Gesuchstellerin ist drittens unbestrittenermassen an der KET-Beratung beteiligt, womit Massnahmen (auch) bei ihr bereits ansetzen. Viertens hielt bereits die Vorinstanz die Parteien berechtigterweise dazu an, anstatt sich nach wie vor gegenseitig die Verantwortung für die zunehmende Belastung von A._____ zuzu- schieben, beziehungsweise die "Schuldfrage", auf die es so oder anders keine objektiv wahre Antwort geben wird, sein zu lassen, sich gemeinsam auf die Frage auszurichten, was es von jedem Einzelnen und von beiden Eltern im gemeinsa- men Zusammenwirken braucht, damit A._____ unbelastete Beziehungen zu bei- den Eltern leben kann und von der Last der Beziehungsverantwortung endlich entlastet wird (Urk. 2 S. 5 f.). d) Der Gesuchsgegner macht schliesslich – wie bereits vor Vorinstanz (vgl. Prot. I S. 131) – geltend, die Gesuchstellerin verfolge seit langem ein Ziel, nämlich ihn aus ihrem und damit aus dem Leben des Verfahrensbeteiligten zu entfernen, was sich auch im geplanten Wegzug nach E._____ manifestiere (Urk. 19 Rz. 51). Diesbezüglich ist dem Gesuchsgegner entgegenzuhalten, dass im Gutachten vom 30. Januar 2025 ausdrücklich erwähnt wird, die Gesuchstellerin habe die Kon- takte zwischen dem Gesuchsgegner und dem Verfahrensbeteiligten seit der Tren- nung grösstenteils zugelassen. Die Untersuchungsergebnisse sprächen auch da- für, dass die Gewaltvorwürfe des Kindes nicht auf einer direkten Einflussnahme der Gesuchstellerin beruhten, sondern vom Kind selbst als Strategie im Umgang mit der eigenen Belastung gewählt wurden (Urk. 7/107 S. 103). Frau K._____, Mitarbeiterin des BBT J._____, berichtete gegenüber der Gutachterin ausserdem am 12. Dezember 2024, A._____ sei laut seinen Angaben nur gekommen, weil die Mutter ihn dazu überredet habe (Urk. 7/107 S. 66). Vor Vorinstanz hat die Ge- suchstellerin sodann zugesichert, bei einem Wegzug dafür zu sorgen, dass die</w:t>
      </w:r>
    </w:p>
    <w:p>
      <w:r>
        <w:t>- 28 - Therapiebesuche weiterhin stattfinden werden (Prot. I S. 126 f). Für diese Darstel- lung spricht, dass die Gesuchstellerin bereits konkrete Abklärungen getroffen hat, wie ein begleiteter Besuchstreff oder eine Einzelbegleitung in E._____ organisiert werden könnten (Urk. 7/142 Rz. 26; Urk. 143/10). Im Gutachten vom 30. Januar 2025 wird sodann ausgeführt, im vorliegenden Fall seien bei A._____ Auffälligkei- ten im Erleben und Verhalten erkennbar, die in engem zeitlichen Zusammenhang zur Trennung der Eltern stünden. Die Beziehung der Eltern untereinander sei durch ein ausgeprägtes Misstrauen und gegenseitige Ablehnung gekennzeichnet. Die Eltern übernähmen in dieser Hinsicht keine Verantwortung in ihrer Elternrolle und die gesamte Beziehungsverantwortung laste auf A._____. Bei A._____ habe dieses Verhalten der Eltern einen inneren Konflikt ausgelöst, den er nur noch durch eine Parteinahme für den Elternteil, von dem er gerade in grösserer Abhän- gigkeit stehe, also dem obhutsberechtigten Elternteil, habe entgehen können. Wenn es den Eltern gelinge, durch gemeinsame Gespräche und eine konstruktive Zusammenarbeit wieder Verantwortung in ihrer gemeinsamen Elternrolle zu über- nehmen, könnten sie A._____ aus seinem Konflikt entlasten und erheblich zu ei- ner gesunden und glücklichen Entwicklung ihres Kindes beitragen (Urk. 7/107 S. 107). Mithin stehen vorliegend – wie auch der Kindesvertreter unterstreicht (Urk. 26 Rz. 30) – eindeutig beide Elternteile in der Verantwortung. IV. 1. Die Vorinstanz hat keine Regelung über die Kosten- und Entschädigungsfol- gen getroffen (Urk. 2 S. 8 ff.). Dies blieb unangefochten. Die Vorinstanz wird über die Prozesskosten der vorsorglichen Massnahmen zusammen mit der Hauptsa- che entscheiden (vgl. Art. 104 Abs.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