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LE250011 vom 4. Juli 2025</w:t>
      </w:r>
    </w:p>
    <w:p>
      <w:r>
        <w:t>ZH Obergericht, 2025-07-04, DE</w:t>
      </w:r>
    </w:p>
    <w:p>
      <w:r>
        <w:rPr>
          <w:b/>
        </w:rPr>
        <w:t xml:space="preserve">Quelle: </w:t>
      </w:r>
      <w:r>
        <w:t>https://mcp.opencaselaw.ch/entscheid/zh_obergericht_LE250011</w:t>
      </w:r>
    </w:p>
    <w:p>
      <w:r>
        <w:t>FR: ZH_OBERGERICHT LE250011 du 4 juillet 2025</w:t>
      </w:r>
    </w:p>
    <w:p>
      <w:r>
        <w:t>IT: ZH_OBERGERICHT LE250011 del 4 luglio 2025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Es sei der gemeinsame Sohn C._____, geboren am tt.mm.2008, un- ter die Obhut des Gesuchstellers zu stellen;</w:t>
      </w:r>
    </w:p>
    <w:p>
      <w:r>
        <w:rPr>
          <w:b/>
        </w:rPr>
        <w:t>E. 3</w:t>
      </w:r>
    </w:p>
    <w:p>
      <w:r>
        <w:t>Die eheliche Wohnung an der D._____-strasse 1, E._____ und der darin enthaltene gemeinsame Hausrat sowie das Mobiliar seien dem Gesuchsteller für die Dauer des Getrenntlebens zur ausschliessli- chen Benützung zuzuweisen;</w:t>
      </w:r>
    </w:p>
    <w:p>
      <w:r>
        <w:rPr>
          <w:b/>
        </w:rPr>
        <w:t>E. 4</w:t>
      </w:r>
    </w:p>
    <w:p>
      <w:r>
        <w:t>Die Gesuchsgegnerin sei zu verpflichten, an den Unterhalt von C._____ ab 1. März 2024 und für die Dauer des Getrenntlebens mo- natlich im Voraus angemessene Unterhaltsbeiträge von mindestens CHF 530.00 zuzüglich Kinder- und Ausbildungszulagen zu bezah- len;</w:t>
      </w:r>
    </w:p>
    <w:p>
      <w:r>
        <w:rPr>
          <w:b/>
        </w:rPr>
        <w:t>E. 5</w:t>
      </w:r>
    </w:p>
    <w:p>
      <w:r>
        <w:t>Es sei festzustellen, dass sich die Parteien gegenseitig keinen per- sönlichen Unterhalt schulden;</w:t>
      </w:r>
    </w:p>
    <w:p>
      <w:r>
        <w:rPr>
          <w:b/>
        </w:rPr>
        <w:t>E. 6</w:t>
      </w:r>
    </w:p>
    <w:p>
      <w:r>
        <w:t>Es sei zwischen den Parteien per Einreichung des vorliegenden Eheschutzbegehrens die Gütertrennung anzuordnen;</w:t>
      </w:r>
    </w:p>
    <w:p>
      <w:r>
        <w:rPr>
          <w:b/>
        </w:rPr>
        <w:t>E. 7</w:t>
      </w:r>
    </w:p>
    <w:p>
      <w:r>
        <w:t>Der Gesuchsteller wird verpflichtet, der Gesuchsgegnerin für sich persönlich Unterhaltsbeiträge wie folgt zu bezahlen: a) während des stationären Aufenthaltes Fr. 567.00; b) ab Austritt aus dem stationären Aufenthalt Fr. 2'441.00. Die Unterhaltsbeiträge sind zahlbar monatlich im Voraus, jeweils auf den Ersten eines jeden Monats.</w:t>
      </w:r>
    </w:p>
    <w:p>
      <w:r>
        <w:rPr>
          <w:b/>
        </w:rPr>
        <w:t>E. 8</w:t>
      </w:r>
    </w:p>
    <w:p>
      <w:r>
        <w:t>Der Gesuchsteller wird verpflichtet, der Gesuchsgegnerin für die Zeit vom Mitte Januar 2024 bis Mitte Februar 2025 ausstehende Unterhaltsbeiträge von Fr. 4'263.00 zu bezahlen.</w:t>
      </w:r>
    </w:p>
    <w:p>
      <w:r>
        <w:rPr>
          <w:b/>
        </w:rPr>
        <w:t>E. 9</w:t>
      </w:r>
    </w:p>
    <w:p>
      <w:r>
        <w:t>Der Antrag des Gesuchstellers auf Anordnung der Gütertrennung wird abge- wiesen.</w:t>
      </w:r>
    </w:p>
    <w:p>
      <w:r>
        <w:rPr>
          <w:b/>
        </w:rPr>
        <w:t>E. 10</w:t>
      </w:r>
    </w:p>
    <w:p>
      <w:r>
        <w:t>Die Entscheidgebühr wird festgesetzt auf: Fr. 2'100.00 ; die weiteren Auslagen betragen: Fr. 645.00 Dolmetscherkosten Fr. 2'745.00 Total</w:t>
      </w:r>
    </w:p>
    <w:p>
      <w:r>
        <w:rPr>
          <w:b/>
        </w:rPr>
        <w:t>E. 11</w:t>
      </w:r>
    </w:p>
    <w:p>
      <w:r>
        <w:t>Die Kosten des Entscheids werden den Parteien je zur Hälfte auferlegt, je- doch zufolge Bewilligung der unentgeltlichen Rechtspflege einstweilen auf die Gerichtskasse genommen. Eine Nachforderung im Sinne von Art. 123 ZPO bleibt vorbehalten.</w:t>
      </w:r>
    </w:p>
    <w:p>
      <w:r>
        <w:rPr>
          <w:b/>
        </w:rPr>
        <w:t>E. 12</w:t>
      </w:r>
    </w:p>
    <w:p>
      <w:r>
        <w:t>Es werden keine Parteientschädigungen zugesprochen.</w:t>
      </w:r>
    </w:p>
    <w:p>
      <w:r>
        <w:rPr>
          <w:b/>
        </w:rPr>
        <w:t>E. 13</w:t>
      </w:r>
    </w:p>
    <w:p>
      <w:r>
        <w:t>[Mitteilungssatz].</w:t>
      </w:r>
    </w:p>
    <w:p>
      <w:r>
        <w:t>- 4 -</w:t>
      </w:r>
    </w:p>
    <w:p>
      <w:r>
        <w:rPr>
          <w:b/>
        </w:rPr>
        <w:t>E. 14</w:t>
      </w:r>
    </w:p>
    <w:p>
      <w:r>
        <w:t>[Rechtsmittelbelehrung: Berufung, 10 Tage]. Berufungsanträge: des Gesuchstellers und Berufungsklägers (Urk. 38 S. 2 f.): "1. Es sei die Dispositiv-Ziffer 7 des Urteils des Bezirksgerichts Winterthur vom</w:t>
      </w:r>
    </w:p>
    <w:p>
      <w:r>
        <w:rPr>
          <w:b/>
        </w:rPr>
        <w:t>E. 18</w:t>
      </w:r>
    </w:p>
    <w:p>
      <w:r>
        <w:t>Februar 2025 aufzuheben und die Sache an die Vorinstanz zurückzuwei- sen. 4. Alles unter Kosten und Entschädigungsfolgen (zzgl. Mehrwertsteuer) zulas- ten der Berufungsbeklagten."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