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LE250004 vom 17. Februar 2025</w:t>
      </w:r>
    </w:p>
    <w:p>
      <w:r>
        <w:t>ZH Obergericht, 2025-02-17, DE</w:t>
      </w:r>
    </w:p>
    <w:p>
      <w:r>
        <w:rPr>
          <w:b/>
        </w:rPr>
        <w:t xml:space="preserve">Quelle: </w:t>
      </w:r>
      <w:r>
        <w:t>https://mcp.opencaselaw.ch/entscheid/zh_obergericht_LE250004</w:t>
      </w:r>
    </w:p>
    <w:p>
      <w:r>
        <w:t>FR: ZH_OBERGERICHT LE250004 du 17 février 2025</w:t>
      </w:r>
    </w:p>
    <w:p>
      <w:r>
        <w:t>IT: ZH_OBERGERICHT LE250004 del 17 febbraio 2025</w:t>
      </w:r>
    </w:p>
    <w:p>
      <w:pPr>
        <w:pStyle w:val="Heading2"/>
      </w:pPr>
      <w:r>
        <w:t>Erwägungen</w:t>
      </w:r>
    </w:p>
    <w:p>
      <w:r>
        <w:rPr>
          <w:b/>
        </w:rPr>
        <w:t>E. 1</w:t>
      </w:r>
    </w:p>
    <w:p>
      <w:r>
        <w:t>Die Parteien sind seit dem tt. November 2009 verheiratet und haben zwei Kin- der, C._____, geboren am tt.mm.2013, und D._____, geboren am tt.mm.2014. Mit Eingabe vom 31. Juli 2024 machte die Gesuchstellerin und Berufungsbeklagte (fortan Gesuchstellerin) das Eheschutzverfahren bei der Vorinstanz anhängig (Urk. 1). Der erstinstanzliche Prozessverlauf kann den Erwägungen des angefochtenen Entscheids entnommen werden (Urk. 51 E. 1). Am 11. Dezember 2024 erliess die Vorinstanz den oben aufgeführten Entscheid (Urk. 51).</w:t>
      </w:r>
    </w:p>
    <w:p>
      <w:r>
        <w:rPr>
          <w:b/>
        </w:rPr>
        <w:t>E. 2</w:t>
      </w:r>
    </w:p>
    <w:p>
      <w:r>
        <w:t>Dagegen erhob der Gesuchsgegner und Berufungskläger (fortan Gesuchs- gegner) mit Eingabe vom 30. Januar 2025 fristgerecht (vgl. aArt. 314 Abs. 1 ZPO und Urk. 49) Berufung mit den oben aufgeführten Anträgen (Urk. 50).</w:t>
      </w:r>
    </w:p>
    <w:p>
      <w:r>
        <w:rPr>
          <w:b/>
        </w:rPr>
        <w:t>E. 3</w:t>
      </w:r>
    </w:p>
    <w:p>
      <w:r>
        <w:t>Die Gerichtskosten für das zweitinstanzliche Verfahren werden dem Ge- suchsgegner auferlegt.</w:t>
      </w:r>
    </w:p>
    <w:p>
      <w:r>
        <w:rPr>
          <w:b/>
        </w:rPr>
        <w:t>E. 4</w:t>
      </w:r>
    </w:p>
    <w:p>
      <w:r>
        <w:t>Für das zweitinstanzliche Verfahren werden keine Parteientschädigungen zu- gesprochen.</w:t>
      </w:r>
    </w:p>
    <w:p>
      <w:r>
        <w:rPr>
          <w:b/>
        </w:rPr>
        <w:t>E. 5</w:t>
      </w:r>
    </w:p>
    <w:p>
      <w:r>
        <w:t>Schriftliche Mitteilung an die Parteien, an die Gesuchstellerin unter Beilage der Doppel bzw. Kopien von Urk. 50 und Urk. 52/2–3, sowie an die Vorin- 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 sorgliche Massnahmen im Sinne von Art. 98 BGG. Es handelt sich um eine vermögensrechtliche Angelegenheit. Der Streitwert beträgt Fr. 28'456.–. Die Beschwerde an das Bundesgericht hat keine aufschiebende Wirkung. Hinsichtlich des Fristenlaufs gelten die Art. 44 ff. BGG. Zürich, 17. Februar 2025 Obergericht des Kantons Zürich I. Zivilkammer Die Gerichtsschreiberin: MLaw N. Paszehr</w:t>
      </w:r>
    </w:p>
    <w:p>
      <w:r>
        <w:t>- 15 -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