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LE240004 vom 1. Oktober 2025</w:t>
      </w:r>
    </w:p>
    <w:p>
      <w:r>
        <w:t>ZH Obergericht, 2025-10-01, DE</w:t>
      </w:r>
    </w:p>
    <w:p>
      <w:r>
        <w:rPr>
          <w:b/>
        </w:rPr>
        <w:t xml:space="preserve">Quelle: </w:t>
      </w:r>
      <w:r>
        <w:t>https://mcp.opencaselaw.ch/entscheid/zh_obergericht_LE240004</w:t>
      </w:r>
    </w:p>
    <w:p>
      <w:r>
        <w:t>FR: ZH_OBERGERICHT LE240004 du 1 octobre 2025</w:t>
      </w:r>
    </w:p>
    <w:p>
      <w:r>
        <w:t>IT: ZH_OBERGERICHT LE240004 del 1 ottobre 2025</w:t>
      </w:r>
    </w:p>
    <w:p>
      <w:pPr>
        <w:pStyle w:val="Heading2"/>
      </w:pPr>
      <w:r>
        <w:t>Erwägungen</w:t>
      </w:r>
    </w:p>
    <w:p>
      <w:r>
        <w:rPr>
          <w:b/>
        </w:rPr>
        <w:t>E. 1</w:t>
      </w:r>
    </w:p>
    <w:p>
      <w:r>
        <w:t>Prozessgeschichte</w:t>
      </w:r>
    </w:p>
    <w:p>
      <w:r>
        <w:rPr>
          <w:b/>
        </w:rPr>
        <w:t>E. 1.1</w:t>
      </w:r>
    </w:p>
    <w:p>
      <w:r>
        <w:t>Mit Gesuch vom 20. Juli 2023 ersuchte der Gesuchsteller und Berufungsklä- ger (fortan Gesuchsteller) um Abänderung des Eheschutzurteils des Bezirksge- richts Winterthur vom 26. Oktober 2022 dahingehend, das Besuchsrecht anzupas- sen und die Kinderunterhaltsbeiträge herabzusetzen (Urk. 1). Mit Urteil vom 18. Ja- nuar 2024 passte das Einzelgericht im summarischen Verfahren am Bezirksgericht Bülach (fortan Vorinstanz) die Besuchsregelung an und wies das Gesuch um Ab- änderung im Übrigen ab. Die Gerichtskosten auferlegte die Vorinstanz dem Ge- suchsteller und verpflichtete ihn sodann zur Leistung einer Parteientschädigung an die Gesuchsgegnerin und Berufungsbeklagte (fortan Gesuchsgegnerin [Urk. 27 = Urk. 30 S. 13 f.]).</w:t>
      </w:r>
    </w:p>
    <w:p>
      <w:r>
        <w:rPr>
          <w:b/>
        </w:rPr>
        <w:t>E. 1.2</w:t>
      </w:r>
    </w:p>
    <w:p>
      <w:r>
        <w:t>Hiergegen erhob der Gesuchsteller mit Eingabe vom 5. Februar 2024 innert Frist Berufung und stellte die eingangs wiedergegebenen Anträge (Urk. 29 S. 2 f.). Mit Verfügung vom 7. Februar 2024 wurde das Gesuch um aufschiebende Wirkung abgewiesen (Urk. 33). In der Folge wurde der Gesuchsgegnerin mit Verfügung vom 26. März 2024 Frist zur Einreichung der Berufungsantwort angesetzt (Urk. 39). Mit Eingabe vom 8. April 2024 samt Beilagen (Urk. 40, Urk. 41 und Urk. 42/1-8) erstat- tete die Gesuchsgegnerin die Berufungsantwort und stellte die eingangs widerge- gebenen Anträge. Mit Verfügung vom 22. Mai 2024 wurde die Berufungsantwort dem Gesuchsteller zur Kenntnisnahme zugestellt (Urk. 43), woraufhin dieser die Noveneingabe 6. Juni 2024 samt Beilagen einreichte (Urk. 44, Urk. 45 und Urk. 46/1-3). Sodann reichte er weitere Stellungnahmen vom 17. Juli 2024, vom 24. Juli 2024 und vom 26. August 2024 samt Beilagen ein (Urk. 48, Urk. 49, Urk. 50/1-3, Urk. 51, Urk. 52, Urk. 59, Urk. 60 und Urk. 61/1-2). Die Gesuchsgeg- nerin wiederum nahm mit Eingaben vom 2. August 2024 sowie vom 17. Okto- ber 2024 samt Beilagen (Urk. 55, Urk. 56, Urk. 57/1-3 und Urk. 63) zu den Vorbrin- gen des Gesuchstellers Stellung.</w:t>
      </w:r>
    </w:p>
    <w:p>
      <w:r>
        <w:rPr>
          <w:b/>
        </w:rPr>
        <w:t>E. 1.3</w:t>
      </w:r>
    </w:p>
    <w:p>
      <w:r>
        <w:t>Mit Noveneingabe vom 16. Dezember 2024 teilte der Gesuchsteller mit, die Parteien hätten sich auf ein neues Betreuungsmodell geeinigt (Urk. 67). Auf telefo-</w:t>
      </w:r>
    </w:p>
    <w:p>
      <w:r>
        <w:t>- 6 - nische Nachfrage durch das Gericht erklärte die Rechtsvertreterin der Gesuchs- gegnerin, die Parteien hätten eine Mediation aufgenommen und planten, das Zu- sammenleben im Sommer 2025 wieder aufzunehmen (Urk. 72). In der Folge wurde das Berufungsverfahren mit Verfügung vom 27. Januar 2025 einstweilen bis zum 15. September 2025 sistiert (Urk. 76).</w:t>
      </w:r>
    </w:p>
    <w:p>
      <w:r>
        <w:rPr>
          <w:b/>
        </w:rPr>
        <w:t>E. 1.4</w:t>
      </w:r>
    </w:p>
    <w:p>
      <w:r>
        <w:t>Mit Schreiben vom 5. September 2025 samt Beilage, beim Obergericht ein- gegangen am 9. September 2025, erklärte der Gesuchsteller, er habe sich mit der Gesuchsgegnerin versöhnt und sei mit ihr wieder zusammengezogen, weshalb das Verfahren abzuschreiben sei (Urk. 78 und Urk. 79). Diese Eingabe wurde der Ge- suchsgegnerin mit Verfügung vom 10. September 2025 zugestellt und es wurde beiden Parteien Frist angesetzt, um sich zu den Kosten- und Entschädigungsfolgen bei einer allfälligen Abschreibung des Berufungsverfahrens zu äussern (Urk. 80). Mit Eingaben vom 16. September 2025 bzw. vom 18. September 2025 erstatteten beide Parteien ihre entsprechenden Stellungnahmen (Urk. 81 und Urk. 82).</w:t>
      </w:r>
    </w:p>
    <w:p>
      <w:r>
        <w:rPr>
          <w:b/>
        </w:rPr>
        <w:t>E. 2</w:t>
      </w:r>
    </w:p>
    <w:p>
      <w:r>
        <w:t>Abschreibung des Verfahrens, Kosten- und Entschädigungsfolgen</w:t>
      </w:r>
    </w:p>
    <w:p>
      <w:r>
        <w:rPr>
          <w:b/>
        </w:rPr>
        <w:t>E. 2.1</w:t>
      </w:r>
    </w:p>
    <w:p>
      <w:r>
        <w:t>Der Gesuchsteller beantragt mit Eingabe vom 16. September 2025, das Ver- fahren als durch Rückzug erledigt abzuschreiben, keine Parteientschädigungen festzusetzen und die Gerichtskosten den Parteien je zur Hälfte aufzuerlegen (Urk. 81). Ein Klagerückzug hat die Wirkung eines rechtskräftigen Entscheides (Art. 241 Abs. 2 ZPO). Dies gilt auch für die Erklärung des Rückzugs eines Rechts- mittels. Demzufolge ist das Berufungsverfahren in Anwendung von Art. 241 Abs. 3 ZPO abzuschreiben. Mit der Abschreibung des Berufungsverfahrens wird auch die erstinstanzliche Regelung der Kosten- und Entschädigungsfolgen rechts- kräftig.</w:t>
      </w:r>
    </w:p>
    <w:p>
      <w:r>
        <w:rPr>
          <w:b/>
        </w:rPr>
        <w:t>E. 2.2</w:t>
      </w:r>
    </w:p>
    <w:p>
      <w:r>
        <w:t>Grundsätzlich werden die Prozesskosten der unterliegenden Partei aufer- legt. Bei einem Klagerückzug gilt die klagende Partei als unterliegend (Art. 106 Abs. 1 ZPO). Gleiches gilt sinngemäss für das Rechtsmittelverfahren. Auch wenn Art. 106 Abs. 1 ZPO nur vom „Klagerückzug“ spricht, gilt im Rechtsmittelverfahren die rechtsmittelführende Partei als unterliegend, wenn sie die Berufung zurückzieht (BGer 4A_479/2018 vom 26. Februar 2019 E. 3.2.2). Diese klassische Verteilungs-</w:t>
      </w:r>
    </w:p>
    <w:p>
      <w:r>
        <w:t>- 7 - regel kann sich im Einzelfall als starr und ungerecht erweisen. Aus diesem Grund sieht Art. 107 ZPO für verschiedene typisierte Fälle vor, dass das Gericht von den Verteilungsgrundsätzen gemäss Art. 106 ZPO abweichen und die Prozesskosten nach Ermessen verteilen kann (vgl. Botschaft zur Schweizerischen Zivilprozessord- nung vom 28. Juni 2006, BBl 2006 7297). Dies ist unter anderem „in familienrecht- lichen Verfahren“ der Fall (Art. 107 Abs. 1 lit. c ZPO), wo die Parteien durch Ver- wandtschaft oder Schwägerschaft miteinander verbunden sind (BSK ZPO- Rüegg/Rüegg, Art. 107 N 6). Das Gesetz räumt dem Gericht damit den Spielraum ein, auf Billigkeitserwägungen zurückzugreifen, wenn im Einzelfall die Belastung der unterlegenen Partei mit Prozesskosten als ungerecht erscheint (vgl. BGE 139 III 33 E. 4.2). Auch im Rechtsmittelverfahren können die Kosten grundsätzlich nach Ermessen verlegt werden, wobei in diesem Stadium den Gesichtspunkten des Ob- siegens und Unterliegens ein grösseres Gewicht zukommt (Urwyler/Grütter, DIKE- Komm-ZPO, Art. 107 N 5). Generell ist allerdings hervorzuheben, dass auch bei familienrechtlichen Verfahren die Grundnorm Art. 106 ZPO ist: Soweit das Verur- sacherprinzip sachgerecht ist und keine besonderen Gründe vorliegen, die einen Billigkeitsentscheid nahelegen, ist nach Art. 106 ZPO zu entscheiden (ZK ZPO- Jenny, Art. 107 N 12). Dies gilt insbesondere bei einem Unterliegen aufgrund eines Rechtsmittelrückzugs. Angesichts dessen, dass das Gesetz die Kostenverteilung bei Klagerückzug ausdrücklich in Art. 106 Abs. 1 ZPO regelt und dass es sich bei Art. 107 ZPO um eine blosse „Kann“-Bestimmung handelt, ist davon auszugehen, dass die Kosten bei Rückzug der Klage oder Berufung grundsätzlich der klagenden bzw. berufungsführenden Partei aufzuerlegen sind. Die blosse Tatsache, dass es sich um ein familienrechtliches Verfahren handelt, vermag ein Abrücken von der klaren Regelung von Art. 106 Abs. 1 ZPO noch nicht zu rechtfertigen (vgl. BGE 139 III 358 E. 3, S. 363 betreffend den Rückzug einer Scheidungsklage; OGer ZH LZ180027 vom 28. Juni 2019, E. 3.2).</w:t>
      </w:r>
    </w:p>
    <w:p>
      <w:r>
        <w:rPr>
          <w:b/>
        </w:rPr>
        <w:t>E. 2.3</w:t>
      </w:r>
    </w:p>
    <w:p>
      <w:r>
        <w:t>Zur Begründung seiner Rückzugserklärung führt der Gesuchsteller an, mit der Berufung die Kinderbetreuung und die Unterhaltsbeiträge angefochten zu ha- ben. Bei Einleitung des Berufungsverfahrens hätten die Parteien getrennt gelebt und eine Wiederaufnahme der Ehe sei nicht zur Diskussion gestanden. Insofern seien die Prozesschancen intakt gewesen. In der Zwischenzeit hätten sich die Par-</w:t>
      </w:r>
    </w:p>
    <w:p>
      <w:r>
        <w:t>- 8 - teien jedoch versöhnt und ihre eheliche Gemeinschaft wieder aufgenommen (Urk. 81). Die Gesuchsgegnerin bestätigt, dass die Parteien seit dem 1. Au- gust 2025 wieder zusammengezogen seien und versuchen würden, das Familien- leben wieder aufzunehmen. Unter diesen Umständen erscheine es sinnvoll, das Berufungsverfahren abzuschreiben. Die Regelung der Kosten- und Entschädi- gungsfolgen überlasse sie dem Gericht, sie sei aber mit einer hälftigen Teilung der Gerichtskosten und Wettschlagen der Prozessentschädigungen unter Hinweis auf das Gesuch betreffend unentgeltliche Rechtspflege einverstanden, sofern diese bewilligt würde (Urk. 82).</w:t>
      </w:r>
    </w:p>
    <w:p>
      <w:r>
        <w:rPr>
          <w:b/>
        </w:rPr>
        <w:t>E. 2.4</w:t>
      </w:r>
    </w:p>
    <w:p>
      <w:r>
        <w:t>Hinsichtlich der Verteilung der Gerichtskosten für das Berufungsverfahren ist vorliegend insbesondere zu berücksichtigen, dass die Parteien bei Einleitung des Berufungsverfahrens noch getrennt lebten, sich aber im Laufe des Verfahrens gemäss ihren übereinstimmenden Ausführungen versöhnt und das Zusammen- leben wieder aufgenommen haben (Urk. 78, Urk. 81 und Urk. 82). Es erscheint da- her nicht angemessen, die Gerichtskosten – wie bei einem Klagerückzug grund- sätzlich üblich (vgl. oben Erw. 2.2) – vollumfänglich dem Gesuchsteller aufzuerle- gen. In Anbetracht dessen, dass sich die Parteien versöhnt und dem vorliegenden Berufungsverfahren somit gemeinsam die Grundlage (Überprüfung der von der Vorinstanz im Rahmen des Eheschutzverfahrens festgelegten Betreuungsregelung und der Kinderunterhaltsbeiträge) entzogen haben, erscheint es sachgerecht und angemessen, die Gerichtskosten den Parteien in Anwendung von Art. 107 Abs. 1 lit. c ZPO je zur Hälfte aufzuerlegen. Dies gilt umso mehr, als sich die Gesuchsgeg- nerin mit der hälftigen Teilung der Gerichtskosten – wenn auch vorbehältlich einer Bewilligung der unentgeltlichen Rechtspflege (vgl. dazu unten Erw. 3) – einverstan- den erklärt hat (Urk. 82).</w:t>
      </w:r>
    </w:p>
    <w:p>
      <w:r>
        <w:rPr>
          <w:b/>
        </w:rPr>
        <w:t>E. 2.5</w:t>
      </w:r>
    </w:p>
    <w:p>
      <w:r>
        <w:t>Die Gerichtsgebühr für das Berufungsverfahren ist in Anwendung von § 5 Abs. 1, § 6 Abs. 2 lit. b, § 10 und § 12 Abs. 1 und 2 GebV OG auf Fr. 1'200.– festzulegen. Wie vorstehend ausgeführt sind die Gerichtskosten für das Berufungs- verfahren den Parteien je zur Hälfte aufzuerlegen.</w:t>
      </w:r>
    </w:p>
    <w:p>
      <w:r>
        <w:rPr>
          <w:b/>
        </w:rPr>
        <w:t>E. 2.6</w:t>
      </w:r>
    </w:p>
    <w:p>
      <w:r>
        <w:t>Betreffend die Parteientschädigungen ersuchen die Parteien in ihren Stel- lungnahmen vom 16. bzw. vom 18. September 2025 darum, keine festzusetzen</w:t>
      </w:r>
    </w:p>
    <w:p>
      <w:r>
        <w:t>- 9 - bzw. diese wettzuschlagen (Urk. 81 und Urk. 82). Entsprechend der hälftigen Kos- tenauflage erscheint es vorliegend angezeigt, keine Parteientschädigungen zuzu- sprechen.</w:t>
      </w:r>
    </w:p>
    <w:p>
      <w:r>
        <w:rPr>
          <w:b/>
        </w:rPr>
        <w:t>E. 3</w:t>
      </w:r>
    </w:p>
    <w:p>
      <w:r>
        <w:t>Prozesskostenbeitrag und unentgeltliche Rechtspflege</w:t>
      </w:r>
    </w:p>
    <w:p>
      <w:r>
        <w:rPr>
          <w:b/>
        </w:rPr>
        <w:t>E. 3.1</w:t>
      </w:r>
    </w:p>
    <w:p>
      <w:r>
        <w:t>Der Gesuchsteller ersucht um Verpflichtung der Gesuchsgegnerin zur Leis- tung eines Prozesskostenbeitrags von einstweilen Fr. 6'000.– zuzüglich Mehrwert- steuer (Urk. 29 S. 3). Die Gesuchsgegnerin stellt ein ebensolches Gesuch um Ver- pflichtung des Gesuchstellers zur Leistung eines Prozesskostenbeitrags von einst- weilen Fr. 7'000.– (Urk. 40 S. 2). Sodann beantragen beide Parteien eventualiter die Gewährung der unentgeltlichen Rechtspflege im Berufungsverfahren (Urk. 29 S. 3 und Urk. 40 S. 2). Hinsichtlich der rechtlichen Voraussetzungen für die Gewäh- rung des prozessualen Armenrechts kann auf die zutreffenden Erwägungen der Vorinstanz verwiesen werden (Urk. 27 Erw. 7.1.).</w:t>
      </w:r>
    </w:p>
    <w:p>
      <w:r>
        <w:rPr>
          <w:b/>
        </w:rPr>
        <w:t>E. 3.2</w:t>
      </w:r>
    </w:p>
    <w:p>
      <w:r>
        <w:t>Der Gesuchsteller macht geltend, er sei seit mehreren Jahren gesundheitlich angeschlagen und befinde sich in ärztlicher Behandlung. Aufgrund einer psychi- schen Erkrankung habe er sein Arbeitspensum beim I._____ auf 60 % reduzieren müssen. Im Vergleich zum dem Urteil des Bezirksgerichts Winterthur vom 26. Ok- tober 2022 zugrundeliegenden monatlichen Erwerbseinkommen von Fr. 5'436.05 (inkl. 13. Monatslohn, zuzüglich Familien-, Kinder- und Ausbildungszulagen) ver- diene er heute Fr. 1'359.35 netto weniger pro Monat, also nur noch Fr. 4'076.70 (Urk. 29 Rz. 22 f. und Rz. 30). Über ein nennenswertes Vermögen verfüge er nicht (Urk. 29 Rz. 40). Die Gesuchsgegnerin führt aus, in einem unregelmässigen Nied- rigstpensum tätig zu sein und grössenordnungsmässig durchschnittlich rund Fr. 200.– netto pro Monat zu verdienen. Sie sei schon seit jeher auf Sozialhilfe an- gewiesen und das werde sich auch in absehbarer Zeit nicht ändern (Urk. 40 Rz. 50 und Urk. 41/6-8).</w:t>
      </w:r>
    </w:p>
    <w:p>
      <w:r>
        <w:rPr>
          <w:b/>
        </w:rPr>
        <w:t>E. 3.3</w:t>
      </w:r>
    </w:p>
    <w:p>
      <w:r>
        <w:t>Aus den glaubhaften Ausführungen der Parteien ergibt sich, dass sie beide nicht in der Lage sind, der jeweiligen Gegenpartei einen Prozesskostenbeitrag zu bezahlen. Die gegenseitigen Begehren um Zusprechung eines Prozesskostenbei- trags von der jeweiligen Gegenpartei sind daher abzuweisen.</w:t>
      </w:r>
    </w:p>
    <w:p>
      <w:r>
        <w:t>- 10 -</w:t>
      </w:r>
    </w:p>
    <w:p>
      <w:r>
        <w:rPr>
          <w:b/>
        </w:rPr>
        <w:t>E. 3.4</w:t>
      </w:r>
    </w:p>
    <w:p>
      <w:r>
        <w:t>Auch wenn die Parteien nun wieder zusammengezogen sind und mit den fünf gemeinsamen Kindern zusammenleben (Urk. 78 und Urk. 79), mithin also zu- mindest nicht mehr zwei Haushalte finanzieren müssen, sind sie beide als mittellos im Sinne von Art. 117 lit. a ZPO zu qualifizieren. Sodann erschien die vom Gesuch- steller erhobene Berufung gegen das erstinstanzliche Urteil in Bezug auf die von ihm zu leistenden Unterhaltsbeiträge sowie die Betreuungsregelung nicht zum vornherein als aussichtslos (Art. 117 lit. b ZPO). Ferner sind beide Parteien juristi- sche Laien und aufgrund der mit dem vorliegenden Verfahren verbundenen finan- ziellen Tragweite auf eine Rechtsvertretung angewiesen. Diese rechtfertigt sich im Übrigen auch aus Gründen der Waffengleichheit. Beide Parteien sind indes auf die Nachzahlungspflicht gemäss Art. 123 ZPO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