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LE240001 vom 18. Juli 2024</w:t>
      </w:r>
    </w:p>
    <w:p>
      <w:r>
        <w:t>ZH Obergericht, 2024-07-18, DE</w:t>
      </w:r>
    </w:p>
    <w:p>
      <w:r>
        <w:rPr>
          <w:b/>
        </w:rPr>
        <w:t xml:space="preserve">Quelle: </w:t>
      </w:r>
      <w:r>
        <w:t>https://mcp.opencaselaw.ch/entscheid/zh_obergericht_LE240001</w:t>
      </w:r>
    </w:p>
    <w:p>
      <w:r>
        <w:t>FR: ZH_OBERGERICHT LE240001 du 18 juillet 2024</w:t>
      </w:r>
    </w:p>
    <w:p>
      <w:r>
        <w:t>IT: ZH_OBERGERICHT LE240001 del 18 luglio 2024</w:t>
      </w:r>
    </w:p>
    <w:p>
      <w:pPr>
        <w:pStyle w:val="Heading2"/>
      </w:pPr>
      <w:r>
        <w:t>Erwägungen</w:t>
      </w:r>
    </w:p>
    <w:p>
      <w:r>
        <w:rPr>
          <w:b/>
        </w:rPr>
        <w:t>E. 1</w:t>
      </w:r>
    </w:p>
    <w:p>
      <w:r>
        <w:t>Die Parteien sind verheiratet und die Eltern des gemeinsamen Sohnes C._____, geboren am tt.mm.2012. Mit Eingabe vom 24. April 2023 gelangte der Gesuchsteller und Berufungskläger (fortan Gesuchsteller) an die Vorinstanz und ersuchte um Anordnung von Eheschutzmassnahmen (Urk. 1). Für den Verlauf des erstinstanzlichen Verfahrens kann auf die Erwägungen der Vorinstanz verwiesen werden (Urk. 16 S. 3 = Urk. 20 S. 3). Die Vorinstanz fällte am 11. Dezember 2023 den Endentscheid (Urk. 20).</w:t>
      </w:r>
    </w:p>
    <w:p>
      <w:r>
        <w:rPr>
          <w:b/>
        </w:rPr>
        <w:t>E. 2</w:t>
      </w:r>
    </w:p>
    <w:p>
      <w:r>
        <w:t>Gegen diesen Endentscheid erhob der Gesuchsteller innert Frist Berufung und stellte die vorstehend wiedergegebenen Anträge (Urk. 19 S. 2). Mit Verfügung vom 9. Januar 2024 wurde ihm Frist angesetzt, einen Kostenvorschuss von Fr. 3'000.– zu leisten; dieser ging rechtzeitig ein (Urk. 23 und Urk. 24). Mit Verfü- gungen vom 5. März 2024 wurde der Gesuchsgegnerin und Berufungsbeklagten (nachfolgend Gesuchsgegnerin) Frist angesetzt, um die Berufung zu beantworten (Urk. 25). Die Berufungsantwort datiert vom 13. März 2024 (Urk. 26) und wurde dem Gesuchsteller mit Verfügung vom 27. März 2024 zur Kenntnisnahme zuge- stellt (Urk. 29). Mit Verfügung vom 3. Mai 2024 wurden beide Parteien aufgefordert, dem Gericht Belege über ihre aktuelle Einkommenssituation einzureichen (Urk. 30). Die Doppel resp. Kopien der daraufhin von den Parteien erfolgten Einga- ben wurden der jeweiligen Gegenpartei mit Stempelverfügung vom 21. Mai 2024 zur Kenntnisnahme zugestellt (Urk. 31; 32; 33/1-11; 34; 35 und 36/5-14). Nach er- folgter Terminabsprache mit beiden Parteien (Urk. 39-42) wurden diese mit Vorla-</w:t>
      </w:r>
    </w:p>
    <w:p>
      <w:r>
        <w:t>- 8 - dung vom 4. Juni 2024 zur Vergleichsverhandlung auf den 19. Juni 2024 vorgela- den (Urk. 43).</w:t>
      </w:r>
    </w:p>
    <w:p>
      <w:r>
        <w:rPr>
          <w:b/>
        </w:rPr>
        <w:t>E. 3</w:t>
      </w:r>
    </w:p>
    <w:p>
      <w:r>
        <w:t>Unter Mitwirkung des Gerichtsschreibers (§ 133 Abs. 2 GOG) schlossen die Parteien nach vorläufiger Einschätzung der Sach- und Rechtslage anlässlich der Vergleichsverhandlung vom 19. Juni 2024 folgende Vereinbarung (Prot. II S. 10 f. und Urk. 44): "1. Die Parteien beantragen dem Gericht gemeinsam, die Dispositiv-Ziffern 5 und 7 des Urteils des Einzelgerichts im summarischen Verfahren am Be- zirksgericht Bülach vom 11. Dezember 2023 (EE230037-C) aufzuheben und durch folgende Fassung zu ersetzen: '5. Die Parteien werden verpflichtet, für die weitere Dauer des Getrennt-le- bens diejenigen Kosten für den Sohn C._____, geboren am tt.mm.2012, die während der Zeit anfallen, die er beim betreuenden El- ternteil verbringt (insb. Verpflegung, Alltagsbekleidung, Anteil Miete) je- weils selber zu bezahlen. Zudem wird der Gesuchsteller verpflichtet, rückwirkend ab dem 1. Mai 2024 und für die weitere Dauer des Getrenntlebens, die Krankenkas- senprämien der Grund- und Zusatzversicherung für den Sohn zu be- zahlen und die Gesuchsgegnerin wird verpflichtet, rückwirkend ab dem 1. Mai 2024 und für die weitere Dauer des Getrenntlebens, die Fremd- betreuungskosten für den Sohn zu bezahlen. Die Familienzulagen werden vom Gesuchsteller bezogen und von ihm für den Unterhalt des Sohnes verwendet. Zudem wird der Gesuchsteller verpflichtet, für den Sohn rückwirkend ab 1. Mai 2024 bis 31. Januar 2025 einen monatlichen Unterhaltsbei- trag in der Höhe von Fr. 1'700.– (davon Fr. 0.– Betreuungsunterhalt) und ab 1. Februar 2025 und für die weitere Dauer des Getrenntlebens einen monatlichen Unterhaltsbeitrag in der Höhe von Fr. 1'250.– (da-</w:t>
      </w:r>
    </w:p>
    <w:p>
      <w:r>
        <w:t>- 9 - von Fr. 0.– Betreuungsunterhalt) zu bezahlen; zahlbar jeweils auf den Ersten eines jeden Monats im Voraus – sofern nicht rückwirkend ge- schuldet – an die Gesuchsgegnerin, solange der Sohn zur Hälfte in de- ren Haushalt lebt, keine selbständigen Ansprüche gestützt auf Art. 277 Abs. 2 ZGB gegen den Gesuchsteller stellt und keine andere Zahlstelle bezeichnet.</w:t>
      </w:r>
    </w:p>
    <w:p>
      <w:r>
        <w:rPr>
          <w:b/>
        </w:rPr>
        <w:t>E. 7</w:t>
      </w:r>
    </w:p>
    <w:p>
      <w:r>
        <w:t>Bei der Festsetzung der Unterhaltsbeiträge wurde von folgenden finan- ziellen Verhältnissen der Parteien ausgegangen: Einkommen Gesuchsteller: Fr. 7'916.– Nettoeinkommen pro Monat (Durchschnittseinkommen der Jahre 2021, 2022 und 2023) für die weitere Dauer des Getrenntlebens (Familienzulagen separat). Einkommen Gesuchsgegnerin: Fr. 5'550.– hypothetisches Nettoeinkommen pro Monat rückwirkend ab 1. Mai 2024 bis 31. Januar 2025 Fr. 6'366.– hypothetisches Nettoeinkommen pro Monat für die weitere Dauer des Getrenntlebens. C._____: Die Familienzulagen von derzeit Fr. 200.–. Vermögen: Weder die Parteien noch C._____ verfügen über für die Unterhaltsbe- rechnung relevantes Vermögen Bedarfsberechnung Gesuchsteller: Fr. 4'146.– (ab 1. Mai 2024 bis 31. Ja-  nuar 2025) Fr. 4'233.– (ab 1. Februar 2025)</w:t>
      </w:r>
    </w:p>
    <w:p>
      <w:r>
        <w:t>- 10 - Gesuchsgegnerin: Fr. 4'462.– (ab 1. Mai 2024 bis 31. Ja-  nuar 2025) Fr. 4'558.– (ab 1. Februar 2025) C._____: Fr. 1'488.– (im Haushalt des Gesuchstel-  lers ab 1. Mai 2024 bis 31. Januar 2025) Fr. 2'037.– (im Haushalt der Gesuchs- gegnerin ab 1. Mai 2024 bis 31. Januar 2025) Fr. 1'501.– (im Haushalt des Gesuchstel-  lers ab 1. Februar 2025) Fr. 2'009.– (im Haushalt der Gesuchs- gegnerin ab 1. Februar 2025)' 2. Die Parteien übernehmen die Kosten für das zweitinstanzliche Verfahren je zu Hälfte und verzichten gegenseitig auf eine Parteientschädigung." 4. Die vorinstanzlichen Akten (Urk. 1-18) wurden beigezogen. Das Verfahren erweist sich als spruchreif. II. Prozessuale Vorbemerkungen 1. Die Berufung hemmt die Rechtskraft nur im Umfang der Anträge (Art. 315 Abs. 1 ZPO). Angefochten ist lediglich Dispositiv-Ziffer 5 des vorinstanzlichen Ur- teils. Zu aktualisieren sind indes auch die den Unterhaltsberechnungen zugrunde liegenden finanziellen Verhältnisse (Dispositiv-Ziffer 7). Bezüglich der Kosten- und Entschädigungsfolgen (Dispositiv-Ziffern 8-10) erfolgt keine Vormerknahme der (Teil-)Rechtskraft (Art. 318 Abs. 3 ZPO). 2. Für Kinderbelange in familienrechtlichen Angelegenheiten – wie sie vorlie- gend zu beurteilen sind – statuiert Art. 296 Abs. 1 und 3 ZPO den umfassenden Untersuchungsgrundsatz sowie den Offizialgrundsatz, weshalb das Gericht in die- sem Bereich den Sachverhalt von Amtes wegen erforscht und ohne Bindung an die Parteianträge entscheidet. Der von den Parteien getroffenen Vereinbarung kommt indes die Funktion gemeinsamer Anträge zu, von welchen das Gericht in der Regel</w:t>
      </w:r>
    </w:p>
    <w:p>
      <w:r>
        <w:t>- 11 - nicht abweicht, es sei denn, es lägen konkrete Anhaltspunkte vor, dass die getrof- fene Lösung mit dem Kindeswohl nicht vereinbar wäre (KUKO ZPO-Stalder/van de Graaf, Art. 296 N 11). III. Materielles 1. Die Vereinbarung der Parteien regelt rückwirkend ab 1. Mai 2024 die Unter- haltsbeiträge des Gesuchstellers für C._____ sowie die Kosten- und Entschädi- gungsfolgen für das zweitinstanzliche Verfahren (Urk. 44). 2. In Bezug auf den Kinderunterhalt vereinbaren die Parteien, dass der Gesuch- steller rückwirkend ab 1. Mai 2024 bis 31. Januar 2025 Unterhaltsbeiträge für C._____ von monatlich Fr. 1'700.– bezahlt (Urk. 44 S. 2). Diese Regelung der Par- teien berücksichtigt die mit Urteil vom 11. Dezember 2023 angeordnete alternie- rende Obhut mit hälftiger Betreuung (Urk. 20 Dispositiv-Ziffern 2 und 3). Der Bar- bedarf von C._____ ist damit bei beiden Parteien vollständig gedeckt und C._____ partizipiert bei beiden Parteien anteilsmässig am verbleibenden familiären Über- schuss. 3. Ab dem 1. Februar 2025 beträgt der vereinbarte Kinderunterhaltsbeitrag des Gesuchstellers für C._____ monatlich Fr. 1'250.– (Urk. 44 S. 2). Ab diesem Zeit- punkt ist es der Gesuchsgegnerin zumutbar, ihr Einkommen zu steigern, so dass sie mit ihrer gesteigerten Leistungsfähigkeit einen höheren Beitrag zum Barbedarf von C._____ leisten kann. Der Barbedarf von C._____ ist bei beiden Parteien wei- terhin gedeckt und er partizipiert mit dieser Regelung bei beiden Parteien noch im- mer anteilsmässig am verbleibenden familiären Überschuss. 4. Diese Regelung entspricht in beiden Phasen den finanziellen Verhältnissen der Parteien (Urk. 44 S. 3). 5. Die getroffene Unterhaltsregelung erweist sich im Rahmen der vorzunehmen- den summarischen Prüfung als angemessen und liegt im Kindswohl, weshalb sie zu genehmigen ist.</w:t>
      </w:r>
    </w:p>
    <w:p>
      <w:r>
        <w:t>- 12 - IV. Kosten- und Entschädigungsfolgen 1. Die erstinstanzlichen Kosten- und Entschädigungsfolgen (Dispositiv-Ziffern 8- 10) blieben unangefochten und sind zu bestätigen. 2. Die Entscheidgebühr für das Berufungsverfahren ist unter Berücksichtigung der vergleichsweisen Erledigung des Verfahrens in Anwendung von § 12 Abs. 1 und Abs. 2 in Verbindung mit § 2, § 5 Abs. 1, § 6 Abs. 2 lit. b und § 10 Abs. 1 der Gebührenverordnung des Obergerichts des Kantons Zürich (GebV OG; LS 211.11) auf Fr. 1'500.– festzusetzen und vereinbarungsgemäss den Parteien je zur Hälfte aufzuerlegen. Die Kosten werden aus dem vom Gesuchsteller geleisteten Kosten- vorschuss in der Höhe von Fr. 3'000.– bezogen. Der Mehrbetrag ist dem Gesuch- steller zurückzuerstatten. Die Gesuchsgegnerin hat dem Gesuchsteller ihren hälfti- gen Kostenanteil in der Höhe von Fr. 750.– zu ersetzen. Infolge gegenseitigen Ver- zichts sind für das zweitinstanzliche Verfahren keine Parteientschädigungen zuzu- sprechen (vgl. Urk. 44 S. 4 Ziff.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