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LE230045 vom 1. Juli 2024</w:t>
      </w:r>
    </w:p>
    <w:p>
      <w:r>
        <w:t>ZH Obergericht, 2024-07-01, DE</w:t>
      </w:r>
    </w:p>
    <w:p>
      <w:r>
        <w:rPr>
          <w:b/>
        </w:rPr>
        <w:t xml:space="preserve">Quelle: </w:t>
      </w:r>
      <w:r>
        <w:t>https://mcp.opencaselaw.ch/entscheid/zh_obergericht_LE230045</w:t>
      </w:r>
    </w:p>
    <w:p>
      <w:r>
        <w:t>FR: ZH_OBERGERICHT LE230045 du 1 juillet 2024</w:t>
      </w:r>
    </w:p>
    <w:p>
      <w:r>
        <w:t>IT: ZH_OBERGERICHT LE230045 del 1 luglio 2024</w:t>
      </w:r>
    </w:p>
    <w:p>
      <w:pPr>
        <w:pStyle w:val="Heading2"/>
      </w:pPr>
      <w:r>
        <w:t>Erwägungen</w:t>
      </w:r>
    </w:p>
    <w:p>
      <w:r>
        <w:rPr>
          <w:b/>
        </w:rPr>
        <w:t>E. 1</w:t>
      </w:r>
    </w:p>
    <w:p>
      <w:r>
        <w:t>Die Parteien sind verheiratet und haben zwei gemeinsame Kinder: C._____, geboren am tt.mm.2009, und D._____, geboren am tt.mm.2012. Mit Eingabe vom 28. Januar 2023 machte die Gesuchstellerin und Berufungsklägerin (fortan Ge- suchstellerin) das vorliegende Eheschutzverfahren bei der Vorinstanz hängig (Urk. 1). Hinsichtlich der Prozessgeschichte vor Vorinstanz kann auf das angefoch- tene Urteil verwiesen werden (Urk. 77 E. I.2. = Urk. 86 E. I.2.). Dieses erging am 15. September 2023 (Urk. 86).</w:t>
      </w:r>
    </w:p>
    <w:p>
      <w:r>
        <w:rPr>
          <w:b/>
        </w:rPr>
        <w:t>E. 1.1</w:t>
      </w:r>
    </w:p>
    <w:p>
      <w:r>
        <w:t>Nach Prüfung der bundesgerichtlichen Kriterien zur Obhutszuteilung kam die hiesige Kammer im Beschluss vom 30. November 2023 zum Schluss, dass es im Kindswohl von D._____ liegt, bei der Gesuchstellerin zu wohnen (Urk. 108 E. 2.3. ff.). Auf die diesbezüglichen Ausführungen kann zur Vermeidung von Wie- derholungen verwiesen werden. Gemäss der Gesuchstellerin lebte sich D._____ in ihrem neuen Zuhause mittlerweile gut ein (Urk. 110 Rz. 7 f. und Rz. 12). Nach ih- rem Umzug per 1. Dezember 2023 nach F._____ besuchte D._____ bis April 2024 weiterhin die Schule an ihrem ehemaligen Wohnort und verbrachte die Mittagspau- sen mit C._____ beim Gesuchsgegner (Urk. 110 Rz. 8 und Urk. 114 S. 2). Wäh- rend der Schulzeit zeichnete der Gesuchsgegner für die Betreuung von D._____ verantwortlich (Urk. 114 S. 2). Es wurde eine alternierende Obhut mit einem Be- treuungsanteil von zwei Dritteln bei der Gesuchstellerin und einem Drittel beim Ge-</w:t>
      </w:r>
    </w:p>
    <w:p>
      <w:r>
        <w:t>- 15 - suchsgegner gelebt (vgl. zur Ermittlung der Betreuungsanteilen bei Schulkindern BGer 5A_117/2021 vom 9. März 2022, E. 4.4, und BGer 5A_743/2017 vom 22. Mai 2019, E. 2.2). Im April 2024 wechselte D._____ an die Schule in der Nähe ihres aktuellen Wohnortes, womit die Mittagspausen zusammen mit C._____ beim Ge- suchsgegner wegfielen (Urk. 119 S. 2 f.). Seit diesem Zeitpunkt steht D._____ (fak- tisch) unter der alleinigen Obhut der Gesuchstellerin. Dank der gemeinsam bean- tragten Besuchs-, Ferien- und Feiertagsregelung der Parteien kann der Kontakt zwischen D._____ und C._____ sowie dem Gesuchsgegner weiterhin gepflegt und die gute Beziehung zwischen den Geschwistern aufrecht erhalten werden. In die sich nun nach der Trennungsphase der Parteien eingependelten und stabilisierten Verhältnisse ist nicht einzugreifen. Die alleinige Obhut der Gesuchstellerin wird dem Kindswohl von D._____ gerecht.</w:t>
      </w:r>
    </w:p>
    <w:p>
      <w:r>
        <w:rPr>
          <w:b/>
        </w:rPr>
        <w:t>E. 1.2</w:t>
      </w:r>
    </w:p>
    <w:p>
      <w:r>
        <w:t>Die Zuteilung der alleinigen Obhut über C._____ an den Gesuchsgegner ist beizubehalten; sie wurde einerseits nicht angefochten (Urk. 85 S. 2 ff.) und ent- spricht andererseits C._____s Kindswohl und Willen (Prot. S. 9). Die vereinbarten Betreuungsverantwortungen der Parteien erlauben es auch C._____, regelmässig Zeit mit der Gesuchstellerin und D._____ zu verbringen. Zudem berücksichtigen sie C._____s Wunsch, weiterhin mit dem Gesuchsgegner jeden Sonntag den Got- tesdienst in der Kirche zu besuchen (Urk. 18 S. 5).</w:t>
      </w:r>
    </w:p>
    <w:p>
      <w:r>
        <w:rPr>
          <w:b/>
        </w:rPr>
        <w:t>E. 1.3</w:t>
      </w:r>
    </w:p>
    <w:p>
      <w:r>
        <w:t>Nach dem Erwogenen erweist sich die Vereinbarung in Bezug auf die Ob- hutszuteilungen und Betreuungsregelungen als genehmigungsfähig. 2. Unterhalt</w:t>
      </w:r>
    </w:p>
    <w:p>
      <w:r>
        <w:rPr>
          <w:b/>
        </w:rPr>
        <w:t>E. 2</w:t>
      </w:r>
    </w:p>
    <w:p>
      <w:r>
        <w:t>Dagegen erhob die Gesuchstellerin am 2. Oktober 2023 rechtzeitig (vgl. Art. 314 Abs. 1 ZPO und Urk. 79) Berufung mit den eingangs wiedergegebe- nen Anträgen (Urk. 85). Mit Verfügung vom 4. Oktober 2023 wurde das Gesuch der Gesuchstellerin, ihrer Berufung die aufschiebende Wirkung zu erteilen (Urk. 85 S. 4), abgewiesen (Urk. 89). Die Berufungsantwort erfolgte innert der mit Verfügung vom 31. Oktober 2023 angesetzten Frist (Urk. 90 f.). In der Berufungsantwort er- suchte der Gesuchsgegner und Berufungsbeklagte (fortan Gesuchsgegner), der Gesuchstellerin superprovisorisch, eventualiter vorsorglich, für die Dauer des vor- liegenden Verfahrens unter Androhung der Bestrafung nach Art. 292 StGB zu ver- bieten, den Aufenthaltsort von D._____ zu verlegen (Urk. 91 S. 2). Das Gesuch um Erlass einer superprovisorischen Massnahme wurde mit Verfügung vom 15. No- vember 2023 abgewiesen. Gleichzeitig wurde der Gesuchstellerin Frist bis zum 22. November 2023 angesetzt, um zum provisorischen Massnahmebegehren Stel- lung zu nehmen (Urk. 94). In der Folge wurden C._____ und D._____ mit Be- schluss vom 16. November 2023 zur Kinderanhörung auf den 22. November 2023 vorgeladen (Urk. 96). Mit Eingabe vom 17. November 2023 ersuchte Rechtsanwäl-</w:t>
      </w:r>
    </w:p>
    <w:p>
      <w:r>
        <w:t>- 10 - tin lic. iur. Z._____ um Einsetzung als Kindsvertreterin von D._____ (Urk. 97). Die Stellungnahme der Gesuchstellerin zum provisorischen Massnahmebegehren des Gesuchsgegners wurde fristgerecht am 20. November 2023 erstattet (Urk. 99). Die Gesuchstellerin erklärte sich mit der Einsetzung von Rechtsanwältin lic. iur. Z._____ als Kindsvertreterin von D._____ einverstanden und verzichtete auf eine schriftliche Stellungnahme (Urk. 102). Die Kinderanhörung konnte am 22. Novem- ber 2023 durchgeführt werden (Prot. S. 6 ff.). Mit Verfügung vom 23. November 2023 wurde den Parteien eine kurze Frist eingeräumt, um sich zum Ergebnis der Kinderanhörung zu äussern. Dem Gesuchsgegner wurde zudem die Gelegenheit geboten, sich zur Einsetzung von Rechtsanwältin lic. iur. Z._____ als Kindsvertre- terin von D._____ zu äussern und sein allgemeines Replikrecht zur gesuchsteller- ischen Stellungnahme vom 20. November 2023 (Urk. 99) auszuüben (Urk. 103). Nach Eingang der Stellungnahmen der Parteien (Urk. 104 f.) wurde mit Beschluss vom 30. November 2023 das vorsorgliche Massnahmebegehren des Gesuchsgeg- ners vom 13. November 2023 abgewiesen, der Berufung wiedererwägungsweise bezüglich Dispositiv-Ziffern 2 bis 4 des vorinstanzlichen Urteils – bezüglich der Dis- positivziffern 2 und 3 einzig in Bezug auf D._____ – die aufschiebende Wirkung erteilt, der Gesuchstellerin erlaubt, mit D._____ nach F._____ umzuziehen und das Gesuch von Rechtsanwältin lic. iur. Z._____ zur Bestellung als Kindsvertreterin von D._____ einstweilen abgewiesen (Urk. 108). Es folgten weitere Eingaben der Par- teien (Urk. 110 und Urk. 114). Nachdem sich die Parteien mit der Durchführung ei- ner Vergleichsverhandlung einverstanden erklärt hatten (Urk. 117), wurden sie mit Schreiben vom 22. April 2024 zur Vergleichsverhandlung auf den 18. Juni 2024 vorgeladen (Urk. 118). Zur Vorbereitung der Vergleichsverhandlung legte der Ge- suchsgegner in seiner Eingabe vom 17. Juni 2024 seine aktualisierte Beurteilung der finanziellen Situation der Parteien dar (Urk. 119). Unter Mitwirkung der Ge- richtsschreiberin (§ 133 Abs. 2 GOG) schlossen die Parteien nach ihrer vorläufigen Einschätzung der Sach- und Rechtslage anlässlich der Vergleichsverhandlung vom 18. Juni 2024 folgende Vereinbarung (Prot. S. 17 f. und Urk. 122): "1. Die Parteien beantragen dem Gericht gemeinsam, die Dispositiv-Ziffern 2-4 des Urteils des Einzelgerichts im summarischen Verfahren am Bezirksgericht Zürich, 8. Abteilung, vom 15. September 2023 (EE230002-L) aufzuheben und durch folgende Fassung zu ersetzen:</w:t>
      </w:r>
    </w:p>
    <w:p>
      <w:r>
        <w:t>- 11 - '2. Die Obhut über C._____, geboren am tt.mm.2009, wird dem Gesuchsgegner zugeteilt. Die Obhut über D._____, geboren am tt.mm.2012, wird der Gesuchstellerin zuge- teilt.</w:t>
      </w:r>
    </w:p>
    <w:p>
      <w:r>
        <w:rPr>
          <w:b/>
        </w:rPr>
        <w:t>E. 2.1</w:t>
      </w:r>
    </w:p>
    <w:p>
      <w:r>
        <w:t>Bei gegebener Leistungsfähigkeit hat grundsätzlich derjenige Elternteil für den geldwerten Unterhalt des Kinds aufzukommen, der nicht die Obhut innehat und demzufolge vom gleichwertigen Naturalunterhalt weitestgehend entbunden ist. Von diesem Grundsatz kann und muss das Gericht jedoch ermessensweise abweichen, wenn der hauptbetreuende Elternteil leistungsfähiger ist als der andere (BGE 147 III 265 E. 8.1). Grundsätzlich hätte die Gesuchstellerin den gesamten Barunterhalt von C._____ und der Gesuchgegner in der Phase I den Barunterhalt von D._____ teilweise und ab Phase II vollumfänglich zu decken. Die Parteien wollen ihrer be-</w:t>
      </w:r>
    </w:p>
    <w:p>
      <w:r>
        <w:t>- 16 - sonderen Situation, dass jeder Elternteil mit je einem ihrer gemeinsamen Kinder (hauptsächlich) zusammenwohnt, aber dahingehend Rechnung tragen, dass jeder grundsätzlich die in seinem Haushalt anfallenden Kinderkosten bezahlen solle (Urk. 85 Rz. 38 und Urk. 119 S. 4). Dies erweist sich als individuell passende Lö- sung und ist nicht zu beanstanden. Entsprechend der Kinderkostenverteilung ist die Kinderzulage von C._____ im Haushalt des Gesuchsgegners und jene von D._____ im Haushalt der Gesuchstellerin zu berücksichtigen. Da der Gesuchsgeg- ner bis anhin die Rechnungen für die Gesundheitskosten (KVG, VVG und regel- mässige ungedeckte Gesundheitskosten) von D._____ beglich und sich hierzu bis 31. August 2024 verpflichtete, sind diese Kosten bis Phase II in seinem Haushalt einzusetzen. In der Phase I vermag die Gesuchstellerin mit ihrem Einkommen (Fr. 3'535.–) und der Kinderzulage von D._____ (Fr. 200.–) die betreibungsrechtli- chen Existenzminima in ihrem Haushalt (Fr. 4'000.–) um Fr. 265.– nicht zu decken. Vom Einkommen des Gesuchsgegners (Fr. 4'453.–) und der Kinderzulage von C._____ (Fr. 250.–) verbleiben nach Abzug der betreibungsrechtlichen Existenzmi- nima in seinem Haushalt (Fr. 4'529.–) noch Fr. 174.– (vgl. Urk. 121/1), die er an den Barunterhalt von D._____ zu bezahlen hat. Bei D._____ entsteht ein Manko von Fr. 91.–, das es festzuhalten gilt. Mit den Einkommen der Gesuchstellerin (Fr. 3'535.– in Phase II und Fr. 3'681.– in Phase III), den Kinderzulagen von D._____ (Fr. 250.–) und den Unterhaltsbeiträgen des Gesuchsgegners an den Un- terhalt von D._____ (Fr. 281.– in Phase II und Fr. 414.– in Phase III) können die Bedarfe im Haushalt der Gesuchstellerin in Phase II (Fr. 4'066.–) und III (Fr. 4'345.– ) gedeckt werden (vgl. Urk. 121/2-3). Die im Haushalt des Gesuchsgegners verblei- benden geringen Überschüsse (Fr. 21.– in Phase II [Urk. 121/2] und Fr. 50.– in Phase III [Urk. 121/3]) sind diesem zu belassen, da er den Natural- und Barunter- halt von C._____ vollumfänglich übernimmt.</w:t>
      </w:r>
    </w:p>
    <w:p>
      <w:r>
        <w:rPr>
          <w:b/>
        </w:rPr>
        <w:t>E. 2.2</w:t>
      </w:r>
    </w:p>
    <w:p>
      <w:r>
        <w:t>Die getroffene Unterhaltsregelung erweist sich im Rahmen der vorzuneh- menden summarischen Prüfung als angemessen und liegt im Kindswohl, weshalb sie zu genehmigen ist.</w:t>
      </w:r>
    </w:p>
    <w:p>
      <w:r>
        <w:t>- 17 - IV. Kosten- und Entschädigungsfolgen 1. Die erstinstanzlichen Kosten- und Entschädigungsfolgen (Dispositiv-Zif- fern 10 bis 12) blieben unangefochten (Urk. 85 S. 2 ff.) und sind zu bestätigen. 2. Die Entscheidgebühr für das Berufungsverfahren ist unter Berücksichtigung des (super)provisorischen Massnahmebegehrens, der durchgeführten Kinderanhö- rung beider Kinder und der vergleichsweisen Erledigung in Anwendung von § 12 Abs. 1 und Abs. 2 i.V.m. § 2, § 5, § 6 Abs. 2 lit. b und § 10 Abs. 1 GebV OG auf Fr. 5'000.– festzusetzen. Hinzu kommen die Dolmetscherkosten von Fr. 390.– (Art. 95 Abs. 2 lit. d ZPO und Urk. 123). Die Gerichtskosten sind den Parteien ver- einbarungsgemäss je zur Hälfte aufzuerlegen (Urk. 122 Ziff. 3). Zufolge des gegen- seitigen Verzichts (Urk. 122 Ziff. 3) sind für das zweitinstanzliche Verfahren keine Parteientschädigungen zuzusprechen.</w:t>
      </w:r>
    </w:p>
    <w:p>
      <w:r>
        <w:rPr>
          <w:b/>
        </w:rPr>
        <w:t>E. 3</w:t>
      </w:r>
    </w:p>
    <w:p>
      <w:r>
        <w:t>Die Parteien ersuchen gegenseitig um einen Prozesskostenbeitrag bzw. -vor- schuss und eventualiter um Gewährung der unentgeltlichen Rechtspflege und der unentgeltlichen Rechtsvertretung (Urk. 85 S. 4 und Urk. 91 S. 3).</w:t>
      </w:r>
    </w:p>
    <w:p>
      <w:r>
        <w:rPr>
          <w:b/>
        </w:rPr>
        <w:t>E. 3.1</w:t>
      </w:r>
    </w:p>
    <w:p>
      <w:r>
        <w:t>Nach Art. 117 ZPO hat eine Person Anspruch auf unentgeltliche Rechts- pflege, wenn sie nicht über die erforderlichen Mittel verfügt (lit. a) und ihr Rechts- begehren nicht aussichtslos erscheint (lit. b). Wenn dies zur Wahrung ihrer Rechte notwendig ist, insbesondere wenn die Gegenpartei anwaltlich vertreten ist, besteht darüber hinaus ein Anspruch auf unentgeltliche Rechtsverbeiständung (Art. 118 Abs. 1 lit. c ZPO). Zu beachten ist, dass aufgrund der Subsidiarität der unentgeltli- chen Rechtspflege der Anspruch auf einen Prozesskostenvorschuss bzw. -beitrag dem Anspruch auf unentgeltliche Rechtspflege vorgeht. Eine gesuchstellende Par- tei hat daher entweder auch einen Antrag auf Ausrichtung eines Prozesskostenvor- schusses bzw. -beitrages zu stellen oder aber im Gesuch um unentgeltliche Rechtspflege darzulegen, weshalb ihrer Ansicht nach darauf verzichtet werden kann (BGer 5D_83/2015 vom 6. Januar 2016, E. 2.1 m.w.H.).</w:t>
      </w:r>
    </w:p>
    <w:p>
      <w:r>
        <w:rPr>
          <w:b/>
        </w:rPr>
        <w:t>E. 3.2</w:t>
      </w:r>
    </w:p>
    <w:p>
      <w:r>
        <w:t>Den Parteien verbleiben nach Deckung ihrer Bedarfe und ihrer Beteiligung am Barunterhalt von C._____ und D._____ keine genügenden Einkünfte zur Tragung der Prozesskosten des Berufungsverfahrens (vgl. E. II.2.1.). Beide verfügen über</w:t>
      </w:r>
    </w:p>
    <w:p>
      <w:r>
        <w:t>- 18 - kein Vermögen, das über den ihnen zu belassenden Notgroschen hinausgeht (Prot. I S. 16 f., Urk. 14/3 S. 7, Urk. 14/10-15 und Urk. 40/5,). Die Mittellosigkeit der Parteien ist ausgewiesen. Das Verfahren erscheint für beide nicht aussichtslos, was sich nunmehr in der vermittelnden Vereinbarung (Urk. 122) widerspiegelt. Die Parteien sind zur Bewältigung des Prozesses auf anwaltliche Unterstützung ange- wiesen.</w:t>
      </w:r>
    </w:p>
    <w:p>
      <w:r>
        <w:rPr>
          <w:b/>
        </w:rPr>
        <w:t>E. 3.3</w:t>
      </w:r>
    </w:p>
    <w:p>
      <w:r>
        <w:t>Mangels Leistungsfähigkeit der Parteien sind ihre Gesuche um Prozesskos- tenbeitrag bzw. -vorschuss abzuweisen. Ihre Gesuche um unentgeltliche Rechts- pflege sind hingegen gutzuheissen. Der Gesuchstellerin ist in der Person von Rechtsanwältin lic. iur. X._____ und dem Gesuchsgegner in der Person von Rechtsanwalt MLaw Y._____ eine unentgeltliche Rechtsverbeiständung zu bestel- len. Die Parteien sind auf ihre Nachzahlungspflicht nach Art. 123 Abs. 1 ZPO hin- zuweisen.</w:t>
      </w:r>
    </w:p>
    <w:p>
      <w:r>
        <w:rPr>
          <w:b/>
        </w:rPr>
        <w:t>E. 3.4</w:t>
      </w:r>
    </w:p>
    <w:p>
      <w:r>
        <w:t>Mit Eingabe vom 18. Juni 2024 ersucht Rechtsanwalt MLaw Y._____ um wohlwollende Prüfung seiner Honorarnote in der Höhe von Fr. 8'994.05 (inkl. Fr. 242.90 für Auslagenpauschale zu 3 % und Fr. 655.15 Mehrwertsteuer; Urk. 124 f.). Das Honorar für den geltend gemachten Aufwand von Fr. 8'096.– er- scheint gerade noch angemessen (§ 2, § 5, § 6 Abs. 3, § 11 Abs. 1 bis 3 und § 13 Abs. 1 bis 3 AnwGebV) und lässt sich anhand des Leistungsjournals (Urk. 125) plausibilisieren. Die Honorarnote weist indes keine spezifizierten, notwendigen Auslagen aus (vgl. § 22 Abs. 1 AnwGebV; Urk. 125). Eine generelle Auslagenpau- schale von 3 % genügt den Substantiierungsanforderungen nicht (vgl. OGer ZH PC240004 vom 22.02.2024, E. 3.3.5.), weshalb lediglich der Zuschlag für die Mehr- wertsteuer von Fr. 636.05 (Fr. 4'928.– x 7.7 % + Fr. 3'168.– x 8.1 %) hinzuzurech- nen ist. Rechtsanwalt MLaw Y._____ ist für seine Bemühungen im Berufungsver- fahren mit Fr. 8'732.05 (inkl. Mehrwertsteuer) aus der Gerichtskasse zu entschädi- gen. Vorbehalten bleibt auch hier die Nachzahlungspflicht des Gesuchsgegners ge- mäss Art. 123 ZPO.</w:t>
      </w:r>
    </w:p>
    <w:p>
      <w:r>
        <w:rPr>
          <w:b/>
        </w:rPr>
        <w:t>E. 3.5</w:t>
      </w:r>
    </w:p>
    <w:p>
      <w:r>
        <w:t>Rechtsanwältin lic. iur. X._____ wird nach Vorlage ihrer Honorarnote mit se- paratem Beschluss für ihre Bemühungen und Barauslagen als unentgeltliche Rechtsvertreterin der Gesuchstellerin im Berufungsverfahren entschädigt werden.</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