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LE230020 vom 21. April 2023</w:t>
      </w:r>
    </w:p>
    <w:p>
      <w:r>
        <w:t>ZH Obergericht, 2023-04-21, DE</w:t>
      </w:r>
    </w:p>
    <w:p>
      <w:r>
        <w:rPr>
          <w:b/>
        </w:rPr>
        <w:t xml:space="preserve">Quelle: </w:t>
      </w:r>
      <w:r>
        <w:t>https://mcp.opencaselaw.ch/entscheid/zh_obergericht_LE230020</w:t>
      </w:r>
    </w:p>
    <w:p>
      <w:r>
        <w:t>FR: ZH_OBERGERICHT LE230020 du 21 avril 2023</w:t>
      </w:r>
    </w:p>
    <w:p>
      <w:r>
        <w:t>IT: ZH_OBERGERICHT LE230020 del 21 aprile 2023</w:t>
      </w:r>
    </w:p>
    <w:p>
      <w:pPr>
        <w:pStyle w:val="Heading2"/>
      </w:pPr>
      <w:r>
        <w:t>Erwägungen</w:t>
      </w:r>
    </w:p>
    <w:p>
      <w:r>
        <w:rPr>
          <w:b/>
        </w:rPr>
        <w:t>E. 2</w:t>
      </w:r>
    </w:p>
    <w:p>
      <w:r>
        <w:t>Die Berufungsfrist beträgt zehn Tage (Art. 314 Abs. 1 ZPO; vgl. dazu auch die korrekte Rechtsmittelbelehrung im angefochtenen Entscheid, Urk. 19 S. 6 Dispositivziffer 6). Eine eingeschriebene Postsendung gilt am siebten Tag nach dem erfolglosen Zustellversuch als zugestellt, sofern der Adressat mit einer Zustellung rechnen musste (Art. 138 Abs. 3 lit. a ZPO). Diese sogenannte "Zu- stellfiktion" rechtfertigt sich, weil für die an einem Verfahren Beteiligten nach dem Grundsatz von Treu und Glauben die Pflicht besteht, dafür zu sorgen, dass ihnen behördliche Akte eröffnet werden können. Die Rechtsprechung gilt während eines hängigen Verfahrens, wenn die Verfahrensbeteiligten mit der Zustellung eines behördlichen oder gerichtlichen Entscheides oder einer Verfügung mit einer ge- wissen Wahrscheinlichkeit rechnen müssen (BGer 2C_364/2021 vom 5. August 2021, E. 3.3.2 m.w.H.).</w:t>
      </w:r>
    </w:p>
    <w:p>
      <w:r>
        <w:rPr>
          <w:b/>
        </w:rPr>
        <w:t>E. 3</w:t>
      </w:r>
    </w:p>
    <w:p>
      <w:r>
        <w:t>Das Urteil vom 21. März 2023 wurde dem Gesuchsteller mit Gerichts- urkunde zugesandt, am 24. März 2023 zur Abholung gemeldet und nach unge- nütztem Verstreichen der siebentägigen Abholfrist an die Vorinstanz retourniert (Urk. 15). Da der Gesuchsteller das vorinstanzliche Verfahren selbst eingeleitet</w:t>
      </w:r>
    </w:p>
    <w:p>
      <w:r>
        <w:t>- 3 - hatte und somit Kenntnis von diesem hatte, musste er mit weiteren Zustellungen rechnen. Damit greift die Zustellfiktion (siehe E. 2) und das Urteil vom 21. März 2023 galt am letzten Tag der Abholfrist (dem 31. März 2023) als zugestellt, worauf die Vorinstanz den Gesuchsteller bei der zweiten Zustellung des Urteils mit Schreiben vom 4. April 2023 auch ausdrücklich hingewiesen hat (Urk. 15). Die zehntägige Berufungsfrist endete somit am 11. April 2023. Nachdem sich der Ge- suchsteller am 27. März 2023 bei der Oberinstanz gemeldet hatte, wurde ihm am 28. März 2023 mitgeteilt, dass er ein Fristwiederherstellungsgesuch stellen und begründen könne. Der Gesuchsteller verzichtete auf diese Möglichkeit und erhob Berufung gegen den vorinstanzlichen Entscheid. Dies jedoch erst am 14. April 2023 (Datum des Poststempels [Urk. 18]) und damit verspätet. Auf die Berufung ist daher nicht einzutreten.</w:t>
      </w:r>
    </w:p>
    <w:p>
      <w:r>
        <w:rPr>
          <w:b/>
        </w:rPr>
        <w:t>E. 4</w:t>
      </w:r>
    </w:p>
    <w:p>
      <w:r>
        <w:t>Die zweitinstanzliche Entscheidgebühr ist in Anwendung von § 12 Abs. 1 und Abs. 2 sowie § 5 Abs. 1, § 6 Abs. 2 lit. b und § 10 Abs. 1 GebV OG auf Fr. 1'000.– festzusetzen und angesichts seines Unterliegens dem Gesuchsteller aufzuerlegen (Art. 106 Abs. 1 ZPO). Parteientschädigungen sind keine zuzuspre- chen, dem Gesuchsteller angesichts seines Unterliegens und der Gesuchsgegne- rin und Berufungsbeklagten mangels erheblicher Umstände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