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LE220070 vom 8. März 2023</w:t>
      </w:r>
    </w:p>
    <w:p>
      <w:r>
        <w:t>ZH Obergericht, 2023-03-08, DE</w:t>
      </w:r>
    </w:p>
    <w:p>
      <w:r>
        <w:rPr>
          <w:b/>
        </w:rPr>
        <w:t xml:space="preserve">Quelle: </w:t>
      </w:r>
      <w:r>
        <w:t>https://mcp.opencaselaw.ch/entscheid/zh_obergericht_LE220070</w:t>
      </w:r>
    </w:p>
    <w:p>
      <w:r>
        <w:t>FR: ZH_OBERGERICHT LE220070 du 8 mars 2023</w:t>
      </w:r>
    </w:p>
    <w:p>
      <w:r>
        <w:t>IT: ZH_OBERGERICHT LE220070 del 8 marzo 2023</w:t>
      </w:r>
    </w:p>
    <w:p>
      <w:pPr>
        <w:pStyle w:val="Heading2"/>
      </w:pPr>
      <w:r>
        <w:t>Erwägungen</w:t>
      </w:r>
    </w:p>
    <w:p>
      <w:r>
        <w:rPr>
          <w:b/>
        </w:rPr>
        <w:t>E. 1</w:t>
      </w:r>
    </w:p>
    <w:p>
      <w:r>
        <w:t>Die Gesuchstellerin und Berufungsklägerin (fortan Gesuchstellerin) und der Gesuchsgegner und Berufungsbeklagte (fortan Gesuchsgegner) sind die verhei- rateten Eltern von C._____, geboren am tt.mm 2020. Die Parteien befinden sich</w:t>
      </w:r>
    </w:p>
    <w:p>
      <w:r>
        <w:t>- 8 - seit dem 15. Juli 2022 vor Vorinstanz in einem Eheschutzverfahren (Urk. 9/1). Mit Eingabe vom 4. Oktober 2022 beantragte der Gesuchsgegner den Erlass vorsorg- licher Massnahmen für die weitere Dauer des Eheschutzverfahrens (Urk. 9/13). Für die Einzelheiten des erstinstanzlichen Verfahrens wird auf die Erwägungen im angefochtenen Entscheid verwiesen (Urk. 2 S. 4 ff.). Die Vorinstanz erliess am</w:t>
      </w:r>
    </w:p>
    <w:p>
      <w:r>
        <w:rPr>
          <w:b/>
        </w:rPr>
        <w:t>E. 6</w:t>
      </w:r>
    </w:p>
    <w:p>
      <w:r>
        <w:t>Sodann verständigten sich die Parteien anlässlich der Vergleichsverhand- lung darauf, dass der gemeinsame Sohn C._____ künftig nur noch am Montag in die Kinderkrippe geht (Urk. 22 S. 2 Ziffer 2). Den Eltern als gemeinsame Inhaber der elterlichen Sorge und Obhut obliegt es, darüber zu entscheiden, in welchem Umfang sie ihr Kind fremdbetreuen lassen. Die Vereinbarung der Parteien, wo- nach C._____ die Kinderkrippe künftig nur noch am Montag besucht, ist denn</w:t>
      </w:r>
    </w:p>
    <w:p>
      <w:r>
        <w:t>- 12 - auch nicht zu beanstanden. Entsprechend ist diesbezüglich von der Vereinbarung Vormerk zu nehmen.</w:t>
      </w:r>
    </w:p>
    <w:p>
      <w:r>
        <w:rPr>
          <w:b/>
        </w:rPr>
        <w:t>E. 7</w:t>
      </w:r>
    </w:p>
    <w:p>
      <w:r>
        <w:t>Im Übrigen zog die Gesuchstellerin ihre Berufung zurück (Urk. 22 S. 3 Ziffer 3.). Das Verfahren ist diesbezüglich abzuschreiben (vgl. Art. 241 Abs. 3 ZPO). III. 1. Trifft die Rechtsmittelinstanz einen neuen Entscheid, so entscheidet sie auch über die Prozesskosten des erstinstanzlichen Verfahrens (Art. 318 Abs. 3 ZPO). Die Vorinstanz hat in der angefochtenen Verfügung die Regelung der Kos- ten- und Entschädigungsfolgen dem Entscheid vorbehalten (Urk. 2 Dispositivziffer 8). Dieses Kostendispositiv blieb unangefochten, erweist sich nach wie vor als angemessen und ist zu bestätigen. 2.1. Die Gerichtsgebühr für das Berufungsverfahren ist unter Berücksichtigung der durchgeführten Vergleichsverhandlung sowie der vergleichsweisen Erledi- gung des Verfahrens in Anwendung von § 12 Abs. 1 und Abs. 2 in Verbindung mit § 2, § 5 Abs. 1 und § 8 Abs. 1 GebV OG auf Fr. 2'000.– festzusetzen. 2.2. Vereinbarungsgemäss (vgl. Urk. 22 S. 3 Ziff. 4) sind die Gerichtskosten den Parteien je zur Hälfte aufzuerlegen. 2.3. Die Gerichtskosten sind mit dem von der Gesuchstellerin geleisteten Kos- tenvorschuss in der Höhe von Fr. 5'500.– (Urk. 7) zu verrechnen (Art. 111 Abs. 1 ZPO). Im Mehrbetrag von Fr. 3'500.– ist der Gesuchstellerin der Kostenvorschuss zurückzuerstatten. Vorbehalten bleibt das Verrechnungsrecht des Staates. Der Gesuchsgegner hat der Gesuchstellerin zudem den geleisteten Vorschuss im Umfang seines hälftigen Anteils an den Gerichtskosten in Höhe von Fr. 1'000.– zu ersetzen (Art. 111 Abs. 2 ZPO). 3. Infolge gegenseitigen Verzichts (vgl. Urk. 22 S. 3 Ziff. 4) sind für das zweit- instanzliche Verfahren keine Parteientschädigungen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