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LE220061 vom 28. März 2023</w:t>
      </w:r>
    </w:p>
    <w:p>
      <w:r>
        <w:t>ZH Obergericht, 2023-03-28, DE</w:t>
      </w:r>
    </w:p>
    <w:p>
      <w:r>
        <w:rPr>
          <w:b/>
        </w:rPr>
        <w:t xml:space="preserve">Quelle: </w:t>
      </w:r>
      <w:r>
        <w:t>https://mcp.opencaselaw.ch/entscheid/zh_obergericht_LE220061</w:t>
      </w:r>
    </w:p>
    <w:p>
      <w:r>
        <w:t>FR: ZH_OBERGERICHT LE220061 du 28 mars 2023</w:t>
      </w:r>
    </w:p>
    <w:p>
      <w:r>
        <w:t>IT: ZH_OBERGERICHT LE220061 del 28 marzo 2023</w:t>
      </w:r>
    </w:p>
    <w:p>
      <w:pPr>
        <w:pStyle w:val="Heading2"/>
      </w:pPr>
      <w:r>
        <w:t>Erwägungen</w:t>
      </w:r>
    </w:p>
    <w:p>
      <w:r>
        <w:rPr>
          <w:b/>
        </w:rPr>
        <w:t>E. 1</w:t>
      </w:r>
    </w:p>
    <w:p>
      <w:r>
        <w:t>Die Parteien sind verheiratet und die Eltern des gemeinsamen Sohnes C._____, geboren am tt.mm.2015. Mit Eingabe vom 6. April 2021 gelangte die Ge-suchstellerin und Berufungsbeklagte (fortan Gesuchstellerin) an die Vo- rinstanz und ersuchte um Anordnung von Eheschutzmassnahmen (Urk. 1). Mit Datum vom 21. Oktober 2022 erliess die Vorinstanz den eingangs wiedergegebe- nen Entscheid (Urk. 48 = Urk. 53).</w:t>
      </w:r>
    </w:p>
    <w:p>
      <w:r>
        <w:rPr>
          <w:b/>
        </w:rPr>
        <w:t>E. 2</w:t>
      </w:r>
    </w:p>
    <w:p>
      <w:r>
        <w:t>Gegen den vorinstanzlichen Entscheid erhob der Gesuchsgegner und Beru- fungskläger (fortan Gesuchsgegner) mit Eingabe vom 7. November 2022 innert Frist (Urk. 49/2) Berufung mit den eingangs zitierten Anträgen (Urk. 52 S. 2).</w:t>
      </w:r>
    </w:p>
    <w:p>
      <w:r>
        <w:rPr>
          <w:b/>
        </w:rPr>
        <w:t>E. 3</w:t>
      </w:r>
    </w:p>
    <w:p>
      <w:r>
        <w:t>Nachdem sich die Parteien mit der Durchführung einer Vergleichsverhand- lung einverstanden erklärt hatten (Urk. 62/1-3), wurden sie zum Verhandlungs- termin vom 2. März 2023 vorgeladen (Urk. 63). Zufolge zweier Verschiebungsge- suche wurde der Verhandlungstermin auf den 21. März 2023 verlegt (Urk. 64/1- 2, Urk. 65 und Urk. 67-72).</w:t>
      </w:r>
    </w:p>
    <w:p>
      <w:r>
        <w:t>- 8 -</w:t>
      </w:r>
    </w:p>
    <w:p>
      <w:r>
        <w:rPr>
          <w:b/>
        </w:rPr>
        <w:t>E. 4</w:t>
      </w:r>
    </w:p>
    <w:p>
      <w:r>
        <w:t>Mit Kurzbrief vom 1. März 2023 wurde der Gesuchstellerin das Doppel der Berufungsschrift samt Beilagen zur Vorbereitung der Vergleichsverhandlung – ohne Ansetzung einer Frist zur Berufungsantwort – zugestellt (Urk. 66).</w:t>
      </w:r>
    </w:p>
    <w:p>
      <w:r>
        <w:rPr>
          <w:b/>
        </w:rPr>
        <w:t>E. 5</w:t>
      </w:r>
    </w:p>
    <w:p>
      <w:r>
        <w:t>Anlässlich der Vergleichsverhandlung vom 21. März 2023 schlossen die Parteien unter Mitwirkung der Gerichtsschreiberin (§ 133 Abs. 2 GOG) sowie nach deren Einschätzung der Sach- und Rechtslage die folgende Vereinbarung (Urk. 73; vgl. auch Prot. II. S. 7, woraus sich die Anpassungen in den finanziellen Verhältnissen der Parteien und C._____ ergeben): "1. Die Parteien vereinbaren hinsichtlich der Dispositivziffern 5, 6, 8 und 10 des Urteils des Einzelgerichts im summarischen Verfahren am Bezirksge- richt Horgen vom 21. Oktober 2022 (EE220019-F) und der dagegen erho- benen Berufung, was folgt, und ersuchen das Gericht um entsprechende Abänderung dieser Verfügung: " 5. Die Parteien schulden sich gegenseitig keine Kinderunterhaltsbeiträge.</w:t>
      </w:r>
    </w:p>
    <w:p>
      <w:r>
        <w:rPr>
          <w:b/>
        </w:rPr>
        <w:t>E. 6</w:t>
      </w:r>
    </w:p>
    <w:p>
      <w:r>
        <w:t>Der Gesuchsgegner ist berechtigt, sämtliche Kosten, die im Zusam- menhang mit den beiden Eigentumswohnungen an der F._____-strasse … in G._____ anfallenden (inkl. Steuern) vom gemeinsamen Sparkonto bei der UBS (CH1) zu bezahlen. Der Gesuchsgegner verpflichtet sich, der Gesuchstellerin die jeweiligen Ab- rechnungen im Zusammenhang mit obgenannten Eigentumswohnungen um- gehend (spätestens 5 Tage nach deren Erhalt) per E-Mail oder WhatsApp zu- kommen zu lassen. Weiter verpflichtet sich der Gesuchsgegner, sich für das Steuerjahr 2022 sowie bei jeder Mietzinsanpassung von einem Steuerexper- ten bescheinigen zu lassen, welche Steuern für die Mietzinseinnahmen obge- nannter Liegenschaften anfallen. Diese Bescheinigung hat er der Gesuchstel- lerin umgehend (spätestens 5 Tage nach deren Erhalt) zukommen zu lassen.</w:t>
      </w:r>
    </w:p>
    <w:p>
      <w:r>
        <w:rPr>
          <w:b/>
        </w:rPr>
        <w:t>E. 8</w:t>
      </w:r>
    </w:p>
    <w:p>
      <w:r>
        <w:t>Die Gesuchstellerin wird verpflichtet, die Kosten von C._____ für die Krankenkasse (KVG und VVG), die zusätzlichen Gesundheitskosten sowie die Kosten für den Hort (zwei Tage pro Woche) zu tragen.</w:t>
      </w:r>
    </w:p>
    <w:p>
      <w:r>
        <w:t>- 9 -</w:t>
      </w:r>
    </w:p>
    <w:p>
      <w:r>
        <w:rPr>
          <w:b/>
        </w:rPr>
        <w:t>E. 10</w:t>
      </w:r>
    </w:p>
    <w:p>
      <w:r>
        <w:t>Diesem Entscheid liegen die folgenden finanziellen Verhältnisse der Parteien zugrunde: Einkommen netto pro Monat, inkl. Anteil 13. Monatslohn, Familienzulagen se- parat: Gesuchstellerin: CHF 6'797.– (ab 1. April bis 1. Juli 2022) CHF 7'077.– (ab 1. Juli 2022 bis 21. Ok- tober 2022) CHF 7'077.– (ab 22. Oktober 2022) Gesuchsgegner: CHF 6'375.– (während allen drei Phasen) C._____: CHF 200.– (während allen drei Phasen)" 2. Es wird festgehalten, dass der Gesuchsgegner der Gesuchstellerin per 21. März 2023 keine Kinderunterhaltsbeiträge gemäss vorinstanzlichem Ur- teil bezahlt hat. 3. Die Parteien übernehmen die Kosten für das zweitinstanzliche Verfahren je zur Hälfte und verzichten gegenseitig auf eine Parteientschädigung." 6. Das Verfahren erweist sich als spruchreif. Die vorinstanzlichen Akten wur- den beigezogen (Urk. 1 - Urk. 51). II. 1. Vorab ist festzuhalten, dass das vorinstanzliche Urteil in Bezug auf die nicht angefochtenen resp. in der Vereinbarung nicht anderweitig geregelten Dispositiv- ziffern 1 - 4, 7, 9, 11 und 12 in Rechtskraft erwachsen ist (vgl. Art. 315 Abs. 1 ZPO). 2. Soweit es Kinderbelange zu regeln gibt, findet die Offizial- und Untersu- chungsmaxime Anwendung (Art. 296 Abs. 1 ZPO). Der von den Parteien ge- troffenen Vereinbarung kommt die Funktion gemeinsamer Anträge zu, von wel- chen das Gericht in der Regel nicht abweicht, es sei denn, es lägen konkrete An- haltspunkte vor, dass die getroffene Lösung mit dem Kindeswohl nicht vereinbar wäre (KUKO ZPO-Stalder/van de Graaf, Art. 296 N 11).</w:t>
      </w:r>
    </w:p>
    <w:p>
      <w:r>
        <w:t>- 10 - 3. Die am 21. März 2023 geschlossene Vereinbarung, mit der die Parteien u.a. Anpassungen bei der Aufteilung der Lebenshaltungskosten von C._____ regeln und vereinbaren, dass keine gegenseitige Kinderunterhaltszahlungen zu leisten sind, erweist sich als ganzheitliche Lösung, die den finanziellen Verhältnissen der Parteien und von C._____ und insbesondere dem Kindeswohl Rechnung trägt. Durch die Unterhaltsregelungen sind die Lebenshaltungskosten der Parteien und von C._____ gedeckt. Zudem berücksichtigt die Vereinbarung die von der Vo- rinstanz getroffene, unangefochten gebliebene Betreuungsregelung, insbesonde- re dass die Parteien seit Fällung des vorinstanzlichen Urteils die alternierende Obhut über den gemeinsamen Sohn innehaben. 4. Nach dem Gesagten erfordert das Kindeswohl keine von der Vereinbarung der Parteien abweichende Regelung. Die Vereinbarung kann somit genehmigt werden. Die entsprechenden Dispositivziffern des vorinstanzlichen Urteils sind aufzuheben. III. Die erstinstanzliche Prozesskostenregelung (Dispositivziffern 13 - 15) blieb unan- gefochten und ist zu bestätigen. Die Entscheidgebühr für das Berufungsverfahren ist unter Berücksichtigung der vergleichsweisen Erledigung des Verfahrens in Anwendung von § 5 Abs. 1, § 6 Abs. 2 lit. b, § 10 Abs. 1 sowie § 12 Abs. 1 und 2 GebV OG auf Fr. 1'400.– festzusetzen und vereinbarungsgemäss den Parteien je zur Hälfte aufzuerlegen. Infolge gegenseitigen Verzichts sind für das zweitinstanz- liche Verfahren keine Parteientschädigungen zuzusprechen (vgl. Urk. 73 Ziff. 3).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