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LE220043 vom 1. Dezember 2022</w:t>
      </w:r>
    </w:p>
    <w:p>
      <w:r>
        <w:t>ZH Obergericht, 2022-12-01, DE</w:t>
      </w:r>
    </w:p>
    <w:p>
      <w:r>
        <w:rPr>
          <w:b/>
        </w:rPr>
        <w:t xml:space="preserve">Quelle: </w:t>
      </w:r>
      <w:r>
        <w:t>https://mcp.opencaselaw.ch/entscheid/zh_obergericht_LE220043</w:t>
      </w:r>
    </w:p>
    <w:p>
      <w:r>
        <w:t>FR: ZH_OBERGERICHT LE220043 du 1 décembre 2022</w:t>
      </w:r>
    </w:p>
    <w:p>
      <w:r>
        <w:t>IT: ZH_OBERGERICHT LE220043 del 1 dicembre 2022</w:t>
      </w:r>
    </w:p>
    <w:p>
      <w:pPr>
        <w:pStyle w:val="Heading2"/>
      </w:pPr>
      <w:r>
        <w:t>Erwägungen</w:t>
      </w:r>
    </w:p>
    <w:p>
      <w:r>
        <w:rPr>
          <w:b/>
        </w:rPr>
        <w:t>E. 1</w:t>
      </w:r>
    </w:p>
    <w:p>
      <w:r>
        <w:t>Die Parteien sind verheiratet und Eltern der gemeinsamen Kinder C._____, geboren am tt. mm 2018, und D._____, geboren am tt. mm. 2019. Mit Eingabe vom 14. April 2022 gelangte die Gesuchstellerin und Berufungsklägerin (fortan Gesuchstellerin) an die Vorinstanz und ersuchte um Anordnung von Eheschutz- massnahmen (Urk. 6/1-2). Anlässlich der Vergleichsverhandlung vom 14. Juli 2022 unterzeichneten die Parteien unter Widerrufsvorbehalt eine Trennungsver- einbarung für die Dauer des Eheschutzverfahrens (Urk. 6/16; Prot. I S. 3). Nach- dem der Gesuchsgegner und Berufungsbeklagte (fortan Gesuchsgegner) fristge- recht den Widerruf der Trennungsvereinbarung erklärt hatte, stellte die Gesuch- stellerin mit Eingabe vom 25. Juli 2022 ein Gesuch um Erlass vorsorglicher Mas- snahmen (Urk. 6/19). Mit Datum vom 5. August 2022 erliess die Vorinstanz den eingangs wiedergegebenen Entscheid (Urk. 6/24 = Urk. 2).</w:t>
      </w:r>
    </w:p>
    <w:p>
      <w:r>
        <w:rPr>
          <w:b/>
        </w:rPr>
        <w:t>E. 2</w:t>
      </w:r>
    </w:p>
    <w:p>
      <w:r>
        <w:t>Gegen den vorinstanzlichen Entscheid erhob die Gesuchstellerin mit Einga- be vom 16. August 2022 (Urk. 1) innert Frist (Urk. 6/26/1) Berufung mit den ein- gangs zitierten Anträgen. Der bei ihr einverlangte Kostenvorschuss wurde innert Frist geleistet (Urk. 7; Urk. 8).</w:t>
      </w:r>
    </w:p>
    <w:p>
      <w:r>
        <w:rPr>
          <w:b/>
        </w:rPr>
        <w:t>E. 3</w:t>
      </w:r>
    </w:p>
    <w:p>
      <w:r>
        <w:t>Nachdem sich die Parteien mit der Durchführung einer Vergleichsverhand- lung einverstanden erklärt hatten, wurde mit Schreiben vom 12. Oktober 2022 zum Verhandlungstermin vom 11. November 2022 vorgeladen (Urk. 10/1-4; Urk. 11). Mit Verfügung vom 14. Oktober 2022 wurde dem Gesuchsgegner die Berufungsschrift samt Beilagen zur Vorbereitung auf die Vergleichsverhandlung – ohne Ansetzung einer Frist zur Berufungsantwort – zugestellt (Urk. 12). Mit Datum vom 8. November 2022 folgte eine weitere Eingabe der Gesuchstellerin (Urk. 13; Urk. 14; Urk. 15/1-4). Der Gesuchsgegner bestätigte zu Beginn der Vergleichs-</w:t>
      </w:r>
    </w:p>
    <w:p>
      <w:r>
        <w:t>- 6 - verhandlung vom 11. November 2022, die Unterlagen direkt von der Gesuchstel- lerin erhalten zu haben (Prot. II S. 5).</w:t>
      </w:r>
    </w:p>
    <w:p>
      <w:r>
        <w:rPr>
          <w:b/>
        </w:rPr>
        <w:t>E. 3.1</w:t>
      </w:r>
    </w:p>
    <w:p>
      <w:r>
        <w:t>Die Parteien beantragen in der Vereinbarung vom 11. November 2022 die Anordnung einer gemeinsamen Obhut mit wechselnder Betreuung, wobei sie sich u.a. darauf einigen, der Gesuchstellerin mehr Betreuungszeit einzuräumen, als es im vorinstanzlichen Entscheid vorgesehen war (Urk. 16 Ziff. 1).</w:t>
      </w:r>
    </w:p>
    <w:p>
      <w:r>
        <w:rPr>
          <w:b/>
        </w:rPr>
        <w:t>E. 3.2</w:t>
      </w:r>
    </w:p>
    <w:p>
      <w:r>
        <w:t>Grundsätzlich bestehen an den Fähigkeiten der Parteien, die Erziehung und damit die Betreuung der gemeinsamen Kinder C._____ und D._____ zu über- nehmen, keine Zweifel. Auch Elemente wie die Kommunikations- und Kooperati- onsfähigkeit der Eltern, die altersbedingten Bedürfnisse der Kinder, die Wünsche der Kinder und die zeitliche Verfügbarkeit der Eltern erlauben die Anordnung der alternierenden Obhut. Hierzu kann auf die zutreffenden Ausführungen der Vo- rinstanz verwiesen werden (Urk. 2 S. 18 ff.). Die geographischen Verhältnisse stehen dann einer alternierenden Obhut entgegen, wenn dadurch die Durchsetzung des Betreuungsrechts das Kindeswohl – bspw. durch zu lange oder umständliche Fahrten zwischen den Wohnorten – gefährden würde (vgl. BGer 5A_629/2019 vom 13. November 2020; E. 8.5.). Die Parteien wohnen gemäss Google Maps ca. 22 Autofahrt-Kilometer voneinander entfernt. In der vorliegenden Konstellation ist allerdings zu beachten, dass es der Gesuchstellerin trotz dieser Distanz möglich ist, die Kinder nicht nur am Wochen- ende zu Besuch zu nehmen, sondern sich auch massgeblich unter der Woche an deren Betreuung zu beteiligen. Dies erkannte bereits die Vorinstanz und räumte der Gesuchstellerin ein ausgedehntes Wochenend- und Ferienbesuchsrecht so- wie zusätzliche Betreuungszeit inkl. Übernachtung unter der Woche ein (Urk. 2 S. 32 f.). Das Gesetz definiert nicht, bei welchen Betreuungsverhältnissen von ei- ner alternierenden Obhut auszugehen ist. Das Bundesgericht hält in diesem Zu- sammenhang fest, dass die Bedeutung der "Obhut" sich auf die "faktische Obhut" reduziere, daher auf die Befugnis zur täglichen Betreuung des Kindes und auf die</w:t>
      </w:r>
    </w:p>
    <w:p>
      <w:r>
        <w:t>- 9 - Ausübung der Rechte und Pflichten in Zusammenhang mit seiner Pflege und lau- fenden Erziehung (BGer 5A_418/2019 vom 29. August 2019, E. 3.5.2). In diesem Sinne wurde festgehalten, dass eine alternierende Obhut nicht zwingend eine hälftige Betreuung durch beide Elternteile voraussetze, sondern auch dann zum Tragen kommen könne, wenn ein Elternteil sein Kind auch unter der Woche be- treuen wolle, anstatt es nur über das Wochenende zu sich auf Besuch zu nehmen (OGer LE200063 vom 17. Februar 2022, E. 3.4.1 m.H.a. BGer 5A_373/2018 vom</w:t>
      </w:r>
    </w:p>
    <w:p>
      <w:r>
        <w:rPr>
          <w:b/>
        </w:rPr>
        <w:t>E. 3.3</w:t>
      </w:r>
    </w:p>
    <w:p>
      <w:r>
        <w:t>Die von den Parteien anlässlich der Vergleichsverhandlung erarbeitete Be- treuungsregelung – Ausdehnung der Betreuungszeit der Gesuchstellerin, Mini- mierung der direkten Kontakte zwischen den Parteien bei den Übergaben [bspw. durch Übergaben der Kinder direkt an den/ vom Kindergarten (respektive an die/ von der Kita)] – macht deutlich, dass die Parteien gewillt sind, den Kindern einen ausgeglichenen und an die vorliegende Wohn- und Schul- bzw. Arbeitssituation</w:t>
      </w:r>
    </w:p>
    <w:p>
      <w:r>
        <w:t>- 10 - angepassten Zugang zu beiden Elternteilen zu gewähren sowie ihren eigenen Konflikt zu Gunsten der Kinder zu minimieren. Dieser Wille verdeutlicht sich auch in der schriftlich vereinbarten Bereitschaft der Parteien zur Teilnahme an der Müt- ter- und Väterberatung des Sozialzentrums G._____ (Urk. 16 Ziff. 4).</w:t>
      </w:r>
    </w:p>
    <w:p>
      <w:r>
        <w:rPr>
          <w:b/>
        </w:rPr>
        <w:t>E. 3.4</w:t>
      </w:r>
    </w:p>
    <w:p>
      <w:r>
        <w:t>Zusammenfassend erfordert das Kindeswohl keine von der Vereinbarung der Parteien abweichende Regelung. Die weiteren in der Vereinbarung geregel- ten, Punkte, welche der Dispositionsmaxime unterliegen, sind zudem klar, voll- ständig, und nicht offensichtlich unangemessen. Die Vereinbarung ist somit zu genehmigen und die entsprechenden Dispositiv-Ziffern der vorinstanzlichen Ver- fügung sind abzuändern und durch die unter Mitwirkung des Gerichts vereinbar- ten Fassungen zu ersetzen. III. 1. Die Vorinstanz hat in Anwendung von Art. 104 Abs. 3 ZPO den Entscheid über die Kosten- und Entschädigungsfolgen dem Endentscheid in der Hauptsache vorbehalten (Urk. 2 Dispositiv-Ziffer 7). Diesbezüglich gilt es keine Anordnungen zu treffen. 2. Die Gerichtsgebühr für das Berufungsverfahren ist unter Berücksichtigung der durchgeführten Vergleichsverhandlung sowie der vergleichsweisen Erledi- gung des Verfahrens in Anwendung von § 12 Abs. 1 und Abs. 2 in Verbindung mit § 2, § 5 Abs. 1, § 6 Abs. 2 lit. b und § 10 Abs. 1 GebV OG auf Fr. 2'000.– festzu- setzen. Sie ist den Parteien vereinbarungsgemäss je zur Hälfte aufzuerlegen (Urk. 16 Ziff. 5) und mit dem von der Gesuchstellerin geleisteten Kostenvorschuss zu verrechnen (Art. 111 ZPO). Der Gesuchsgegner ist zu verpflichten, der Ge- suchstellerin Fr. 1'000.– des von ihr geleisteten Kostenvorschusses zu ersetzen. 3. Infolge gegenseitigen Verzichts sind für das zweitinstanzliche Verfahren kei- ne Parteientschädigungen zuzusprechen (Urk. 16 Ziff. 5).</w:t>
      </w:r>
    </w:p>
    <w:p>
      <w:r>
        <w:t>- 11 - Es wird beschlossen:</w:t>
      </w:r>
    </w:p>
    <w:p>
      <w:r>
        <w:rPr>
          <w:b/>
        </w:rPr>
        <w:t>E. 4</w:t>
      </w:r>
    </w:p>
    <w:p>
      <w:r>
        <w:t>Unter Mitwirkung der Gerichtsschreiberin (§ 133 Abs. 2 GOG) schlossen die Parteien anlässlich der Vergleichsverhandlung vom 11. November 2022 nach Einschätzung der Sach- und Rechtslage durch die Referentin die folgende Ver- einbarung (Prot. II. S. 6; Urk. 16): "1. Die Parteien vereinbaren hinsichtlich der Dispositivziffern 3 und 6 der Verfügung des Be- zirksgerichts Zürich, 5. Abteilung, vom 5. August 2022 (EE220089-L) und der dagegen er- hobenen Berufung was folgt, und ersuchen das Gericht um entsprechende Abänderung dieser Verfügung: "3. Die Parteien beantragen, es sei ihnen beiden die Obhut für die Kinder mit wech- selnder Betreuung zu übertragen. Der gesetzliche Wohnsitz der Kinder ist beim Va- ter.</w:t>
      </w:r>
    </w:p>
    <w:p>
      <w:r>
        <w:rPr>
          <w:b/>
        </w:rPr>
        <w:t>E. 6</w:t>
      </w:r>
    </w:p>
    <w:p>
      <w:r>
        <w:t>Die Parteien einigen sich über die Aufteilung der Betreuung der Kinder wie folgt, wobei diese die restliche Dauer vom Vater betreut werden: Betreuung durch die Mutter: − jeweils am Dienstag nach Kindergartenschluss bis Donnerstagabend, 18.00 Uhr; − in ungeraden Kalenderwochen (d.h. jedes zweite Wochenende) von Freitag- abend, 18:00 Uhr, bis Montagmorgen, Kindergartenbeginn. Die Mutter wird verpflichtet, C._____ jeweils am Montagmorgen, Kindergartenbe- ginn, dem Kindergarten zu übergeben und D._____ im direkten Anschluss daran dem Vater bzw. dessen Eltern zu übergeben. Zudem wird die Mutter verpflichtet, die Kinder jeweils am Dienstag nach Kindergartenschluss im Kindergarten bzw. D._____ in der Kita abzuholen. Der Vater wird verpflichtet, die Kinder jeweils am Donnerstagabend, 19:00 Uhr, am Bahnhof F._____, abzuholen und diese jeweils am Freitagabend, 18:00 Uhr, am Wohnort der Mutter an die Mutter zu übergeben. Fällt das Betreuungswochenende der Mutter auf Ostern, beginnt ihre Betreuungs- verantwortung bereits am Donnerstagabend, 18.00 Uhr, und sie endet am Oster- montag, 18.00 Uhr. Fällt das Betreuungswochenende der Mutter auf Pfingsten, verlängert sich ihre Be- treuungsverantwortung bis Pfingstmontag, 18.00 Uhr. Die Mutter verpflichtet sich, die Kinder am 25. Dezember 2022 um 10:00 Uhr, dem Vater bei diesem zu Hause zu übergeben, wo diese bis am 1. Januar 2023 verblei- ben. Der Vater verpflichtet sich, die Kinder am 1. Januar 2023, 12:00 Uhr, bei der Mutter zu Hause zu übergeben, wo diese bis am 9. Januar 2023 verbleiben. Die Mutter verpflichtet sich, am 9. Januar 2023 C._____ in den Kindergarten zu bringen und D._____ im direkten Anschluss daran dem Vater bzw. dessen Eltern zu über- geben.</w:t>
      </w:r>
    </w:p>
    <w:p>
      <w:r>
        <w:t>- 7 - Zudem wird die Mutter im Sinne einer vorsorglichen Massnahme für die Dauer des Eheschutzverfahrens für berechtigt und verpflichtet erklärt, die Kinder während der Hälfte der Schulferien auf eigene Kosten zu sich oder mit sich in die Ferien zu neh- men. Die Ausübung des Ferienbesuchsrechts haben die Parteien mindestens drei Monate im Voraus abzusprechen. Können sie sich nicht einigen, so kommt dem Va- ter in Jahren mit gerader Jahreszahl und der Mutter in Jahren mit ungerader Jah- reszahl das Entscheidungsrecht bezüglich Aufteilung der Ferien zu. Selbstverständlich bleibt es den Parteien unbenommen, diese Besuchs- und Ferien- regelung im gegenseitigen Einverständnis abzuändern." 2. Der Gesuchsgegner verpflichtet sich, der Gesuchstellerin akonto Güterrecht Fr. 10'000.– bis spätestens 31. Dezember 2022 zu überweisen. 3. Zur Ausübung des Besuchsrechts mietet sich die Gesuchstellerin ein Auto auf Kosten des Gesuchsgegners mit einem Kostendach von Fr. 1'300.–. Die Gesuchstellerin stellt dem Ge- suchsgegner die Rechnung zur direkten Bezahlung zu. 4. Die Parteien verpflichten sich, an der Mütter- und Väterberatung des Sozialzentrums G._____ teilzunehmen. Für den Fall, dass ihnen von der Mütter- und Väterberatung weiter- gehende Massnahmen empfohlen werden, verpflichten sie sich, diese wahrzunehmen. 5. Die Parteien übernehmen die Kosten für das zweitinstanzliche Verfahren je zur Hälfte und verzichten gegenseitig auf eine Parteientschädigung." 5. Das Verfahren erweist sich als spruchreif. Die vorinstanzlichen Akten wur- den beigezogen. II. 1. Die Berufung hemmt die Rechtskraft des angefochtenen Entscheids im Um- fang der Anträge (Art. 315 Abs. 1 ZPO). Vorweg ist daher festzustellen, dass das vorinstanzliche Urteil in den nicht angefochtenen Dispositiv-Ziffern 1, 2, 4 und 5 in Rechtskraft erwachsen ist. 2. Soweit es Kinderbelange zu regeln gibt, findet die Offizial- und Untersu- chungsmaxime Anwendung (Art. 296 Abs. 1 ZPO). Daher unterliegt die von den Parteien getroffene Vereinbarung im Sinne eines übereinstimmenden Parteian- trages der gerichtlichen Prüfung und Genehmigung (vgl. ZK-Bräm, Art. 176 ZGB N 18 und N 117). Für die Genehmigung wird vorausgesetzt, dass mit der Verein- barung das Kindeswohl gewahrt wird. Soweit keine Kinderbelange betroffen sind,</w:t>
      </w:r>
    </w:p>
    <w:p>
      <w:r>
        <w:t>- 8 - mithin die Dispositionsmaxime zum Tragen kommt, ist die Vereinbarung zu ge- nehmigen, sofern sie klar, vollständig und nicht offensichtlich unangemessen ist (vgl. Art. 279 Abs. 1 ZPO [analog], BGer 5A_1031/2019 vom 26. Juni 2020, E. 2.2 m.w.H.).</w:t>
      </w:r>
    </w:p>
    <w:p>
      <w:r>
        <w:rPr>
          <w:b/>
        </w:rPr>
        <w:t>E. 8</w:t>
      </w:r>
    </w:p>
    <w:p>
      <w:r>
        <w:t>April 2019, E. 3.1, BGer 5A_722/2020 vom 13. Juli 2021, E. 3.1.2 und BGer 5A_67/2021 vom 31. August 2021, E. 3.1.2). In der Lehre wird die Ansicht vertreten, dass bei einer alternierenden Obhut der Betreuungsanteil beider Eltern mehr als einen Viertel betragen soll, wobei Ferien zu berücksichtigen seien (Mai- er/Waldner-Vontobel, Gedanken zur neuen Praxis des Bundesgerichtes zum Un- terhaltsrecht aus der Perspektive des erstinstanzlichen Gerichts, in: FamPra.ch 2021, S. 886), oder aber es wird bei einem Anteil von rund 30 % von einer alter- nierenden Obhut ausgegangen (OGer LE200063 vom 17. Februar 2022, E. 3.4.1 m.H.a. Aeschlimann/Bähler/Schweighauser/Stoll, Berechnung des Kinderunter- haltes – Einige Überlegungen zum Urteil des Bundesgerichtes vom 11. November 2020 i.S. A. gegen B 5A_311/2019; FamPra.ch 2021, S. 277). Mit der Vereinba- rung vom 11. November 2022 fanden die Parteien einvernehmlich eine kinds- wohlgerechte Lösung, die es beiden erlaubt, sich unter den vorliegend gegebenen Umständen in substantiellem Umfang an der Erziehung der Kinder zu beteiligen. In Einklang mit Lehre und Rechtsprechung hindert die geographische Wohnsitua- tion der Parteien die Anordnung der alternierenden Obhut somit nicht. Dass die Kinder den Schulweg alleine bewältigen können sollen (vgl. Urk. 2 S. 21), ist im Übrigen nicht erforderlich (BGer 5A_629/2019 vom 13. November 2020, E. 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