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LE220038 vom 8. Februar 2023</w:t>
      </w:r>
    </w:p>
    <w:p>
      <w:r>
        <w:t>ZH Obergericht, 2023-02-08, DE</w:t>
      </w:r>
    </w:p>
    <w:p>
      <w:r>
        <w:rPr>
          <w:b/>
        </w:rPr>
        <w:t xml:space="preserve">Quelle: </w:t>
      </w:r>
      <w:r>
        <w:t>https://mcp.opencaselaw.ch/entscheid/zh_obergericht_LE220038</w:t>
      </w:r>
    </w:p>
    <w:p>
      <w:r>
        <w:t>FR: ZH_OBERGERICHT LE220038 du 8 février 2023</w:t>
      </w:r>
    </w:p>
    <w:p>
      <w:r>
        <w:t>IT: ZH_OBERGERICHT LE220038 del 8 febbraio 2023</w:t>
      </w:r>
    </w:p>
    <w:p>
      <w:pPr>
        <w:pStyle w:val="Heading2"/>
      </w:pPr>
      <w:r>
        <w:t>Erwägungen</w:t>
      </w:r>
    </w:p>
    <w:p>
      <w:r>
        <w:rPr>
          <w:b/>
        </w:rPr>
        <w:t>E. 1</w:t>
      </w:r>
    </w:p>
    <w:p>
      <w:r>
        <w:t>Die Parteien sind verheiratet und haben einen gemeinsamen Sohn, C._____, geboren am tt.mm.2020. Mit Eingabe vom 18. August 2021 stellte die Gesuchstellerin, Erstberufungsklägerin und Zweitberufungsbeklagte (fortan Ge- suchstellerin) vor Vorinstanz ein Eheschutzbegehren und beantragte gleichzeitig den superprovisorischen Erlass vorsorglicher Massnahmen hinsichtlich der Obhut und der Betreuung des gemeinsamen Sohnes C._____. Betreffend den Ablauf des erstinstanzlichen Verfahrens kann auf die detaillierten Erwägungen der Vo- rinstanz verwiesen werden (Urk. 6/115 E. I = Urk. 2 E. I). Mit eingangs wiederge- gebener Verfügung vom 17. Juni 2022 entschied die Vorinstanz über die im weite- ren Verlauf des vorinstanzlichen Verfahrens gestellten und vorstehend aufgeführ- ten Editionsbegehren der Gesuchstellerin respektive Massnahmenbegehren des Gesuchsgegners, Erstberufungsbeklagten und Zweitberufungsklägers (fortan Ge- suchsgegner) betreffend die Betreuung des gemeinsamen Sohnes C._____ (Urk. 2).</w:t>
      </w:r>
    </w:p>
    <w:p>
      <w:r>
        <w:rPr>
          <w:b/>
        </w:rPr>
        <w:t>E. 2</w:t>
      </w:r>
    </w:p>
    <w:p>
      <w:r>
        <w:t>Dagegen erhoben sowohl die Gesuchstellerin als auch der Gesuchsgegner fristgerecht Berufung mit den eingangs wiedergegebenen Anträgen (Urk. 1 S. 2 f.; Urk. 18/1 S. 2 f.). Die mit Verfügungen vom 4. Juli 2022 (Urk. 6) bzw. vom 5. Juli 2022 (Urk. 18/5) einverlangten Kostenvorschüsse von jeweils Fr. 5'500.– wurden innert Frist geleistet (vgl. Urk. 11; Urk. 18/7). Während das Gesuch der Gesuch- stellerin um Erteilung der aufschiebenden Wirkung hinsichtlich Dispositiv-Ziffer 2 der vorinstanzlichen Verfügung vom 17. Juni 2022 mit Verfügung vom 19. Juli 2022 (Urk. 12) abgewiesen wurde, wurde der Berufung des Gesuchsgegners ge-</w:t>
      </w:r>
    </w:p>
    <w:p>
      <w:r>
        <w:t>- 9 - gen Dispositiv-Ziffer 1 der vorinstanzlichen Verfügung vom 17. Juni 2022 mit Ver- fügung vom 25. Juli 2022 (Urk. 18/9) die aufschiebende Wirkung erteilt. Sowohl die Erstberufungsantwort als auch die Zweitberufungsantwort datieren vom 26. September 2022 (Urk. 15; Urk. 18/11). Mit Beschluss vom 1. November 2022 (Urk. 17) wurde die Zweitberufung (LE220039-O) des Gesuchsgegners mit dem vorliegenden Berufungsverfahren vereinigt und als dadurch erledigt abgeschrie- ben. Gleichzeitig wurden die Erst- sowie die Zweitberufungsantwort der jeweiligen Gegenpartei zur Kenntnisnahme zugestellt (Urk. 17). Am 3. Februar 2023 fand die einmal verschobene (vgl. Urk. 19; Urk. 24) Vergleichsverhandlung statt (Prot. II S. 7).</w:t>
      </w:r>
    </w:p>
    <w:p>
      <w:r>
        <w:rPr>
          <w:b/>
        </w:rPr>
        <w:t>E. 2.1</w:t>
      </w:r>
    </w:p>
    <w:p>
      <w:r>
        <w:t>Sind beide Elternteile Inhaber der Obhut, muss die Aufteilung der Betreuung des Kindes geregelt werden (Art. 298a Abs. 2 und Art. 298b Abs. 2 ff. ZGB). Da der Gesetzgeber auf eine weitere Normierung der Ausgestaltung der alternieren- den Obhut verzichtet hat, sind zur Reglung der Betreuungsanteile die Bestim- mungen über den persönlichen Verkehr (Art. 273 ff. ZGB) analog heranzuziehen (FamKomm Scheidung-Büchler/Clausen Art. 298 ZGB N 11). Art. 273 Abs. 1 ZGB spricht von angemessenem persönlichen Verkehr. Als oberste Richtschnur für die Ausgestaltung des Besuchsrechtes gilt immer das Kindeswohl, das anhand der Umstände des konkreten Einzelfalls zu beurteilen ist. Bei der Festsetzung des Besuchsrechts geht es nicht darum, einen gerechten Interessensausgleich zwi- schen den Eltern zu finden, sondern den elterlichen Kontakt mit dem Kind in sei- nem Interesse zu regeln. Für eine gute Entwicklung des Kindes, insbesondere für die Identitätsfindung, ist die Beziehung zu beiden Elternteilen sehr wichtig und von hohem Wert (BGE 122 III 404 E. 3a). Gemäss aktueller Lehre und Praxis richten sich Häufigkeit und Dauer der Besuchskontakte vor allem nach dem Alter des Kindes, seiner bisherigen Bindung zum anderen Elternteil und nach der Häu- figkeit der bisherigen Kontakte (BSK ZGB I-Schwenzer/Cottier, Art. 273 N 10 und 13).</w:t>
      </w:r>
    </w:p>
    <w:p>
      <w:r>
        <w:t>- 13 -</w:t>
      </w:r>
    </w:p>
    <w:p>
      <w:r>
        <w:rPr>
          <w:b/>
        </w:rPr>
        <w:t>E. 2.2</w:t>
      </w:r>
    </w:p>
    <w:p>
      <w:r>
        <w:t>Die Eltern von C._____ sind gleichermassen gewillt und befähigt, die Be- treuung und Erziehung von C._____ sicherzustellen. Die von den Parteien bean- tragte Betreuungsregelung (Urk. 26 Ziff. 1.2) wird insofern den Interessen von C._____ gerecht und ermöglicht es ihm, weiterhin eine enge Beziehung zu beiden Elternteilen zu pflegen. Diese Regelung nimmt auch auf den Umstand Rücksicht, dass die Gesuchstellerin ihre vorehelichen Söhne jeweils in den geraden und der Gesuchsgegner seine voreheliche Tochter jeweils in den ungeraden Wochen be- treut; mithin wird gewährleistet, dass C._____ auch in regelmässigem Kontakt zu seinen Halbgeschwistern steht. Die Dauer des vorliegenden Verfahrens ist schwer abzuschätzen. Zudem ist C._____ noch nicht schulpflichtig, weshalb für ihn grösstmögliche zeitliche Flexibi- lität besteht, mit seinen Eltern auch Ferien zu verbringen. Die in der Vereinbarung vorgesehene detaillierte Ferienregelung drängte sich daher auf. Mit der Limitie- rung der Feriendauer im Jahr 2023 auf fünf beziehungsweise sechs Nächte und anschliessend auf jeweils eine Woche am Stück wird dem noch jungen Alter von C._____ Rechnung getragen und sichergestellt, dass die Trennung vom jeweils anderen Elternteil nicht zu lange ist. Die von den Parteien vereinbarte Betreuungsregelung ist demnach zu genehmi- gen und Dispositiv-Ziffer 2 der angefochtenen Verfügung entsprechend anzupas- sen. 3. Der weitere in der Vereinbarung der Parteien (Urk. 26) geregelte Punkt be- trifft ein Gebiet, welches der Dispositionsmaxime untersteht (Auskunftspflicht nach Art. 170 ZGB; vgl. OGer ZH LY180058 vom 20.01.2020, E. IV.2.2). Was diesen Punkt betrifft, kann das Verfahren unter Vormerknahme von der getroffenen Ver- einbarung, jedoch ohne deren Prüfung, erledigt werden. IV. 1. Die Entscheidgebühr für das vorliegende vereinigte Rechtsmittelverfahren ist unter Berücksichtigung der vergleichsweisen Erledigung des Verfahrens in An- wendung von § 5 Abs. 1, § 6 Abs. 2 lit. b, § 10 Abs. 1 und § 12 Abs. 1 und 2</w:t>
      </w:r>
    </w:p>
    <w:p>
      <w:r>
        <w:t>- 14 - GebV OG auf Fr. 5'500.– festzusetzen und vereinbarungsgemäss den Parteien je zur Hälfte aufzuerlegen (Urk. 26 Ziff. 2). 2. Infolge gegenseitigen Verzichts sind für das zweitinstanzliche Verfahren kei- ne Parteientschädigungen zuzusprechen (Urk. 26 Ziff. 2). Es wird beschlossen:</w:t>
      </w:r>
    </w:p>
    <w:p>
      <w:r>
        <w:rPr>
          <w:b/>
        </w:rPr>
        <w:t>E. 3</w:t>
      </w:r>
    </w:p>
    <w:p>
      <w:r>
        <w:t>Unter Mitwirkung der Gerichtsschreiberin (§ 133 Abs. 2 GOG) schlossen die Parteien anlässlich der Verhandlung vom 3. Februar 2023 eine Vereinbarung mit folgendem Inhalt (Urk. 26): "1. Die Parteien beantragen übereinstimmend betreffend die Kinderbelange so- wie die Editionsbegehren, es seien die Dispositiv-Ziffern 1 und 2 der Verfü- gung des Einzelgerichts im summarischen Verfahren am Bezirksgericht Mei- len vom 17. Juni 2022 durch folgende Fassung zu ersetzen: 1. Der Gesuchsgegner wird verpflichtet, dem Bezirksgericht Meilen sowie der Gesuchstellerin bis am 31. März 2023 die nachfolgend aufgeführten Unterlagen einzureichen: - die vollständigen detaillierten Kontoauszüge mit allen Belastungs- anzeigen der Augenarzt-Praxis B._____ AG für den Zeitraum</w:t>
      </w:r>
    </w:p>
    <w:p>
      <w:r>
        <w:rPr>
          <w:b/>
        </w:rPr>
        <w:t>E. 7</w:t>
      </w:r>
    </w:p>
    <w:p>
      <w:r>
        <w:t>Mai 2020 bis 7. Mai 2021, - die vollständigen detaillierten Kontoauszüge mit allen Belastungs- anzeigen der auf den Gesuchsgegner lautenden Konti für den Zeitraum 7. Mai 2020 bis 7. Mai 2021</w:t>
      </w:r>
    </w:p>
    <w:p>
      <w:r>
        <w:t>- 10 - - die vollständigen detaillierten Kreditkartenabrechnungen von sämtlichen auf den Gesuchsgegner lautenden Kreditkarten (Ame- rican Express und Visa) für den Zeitraum 7. Mai 2020 bis 7. Mai 2021. 2. In Abänderung von Dispositiv-Ziffer 3.2.c des Teilurteils und der Verfü- gung des Einzelgerichts im summarischen Verfahren am Bezirksgericht Meilen vom 17. November 2021 wird die Betreuung für C._____, gebo- ren am tt.mm.2020, für die Dauer des Getrenntlebens der Parteien wie folgt festgelegt: Der Gesuchsgegner betreut C._____ - in den Wochen mit ungerader Wochenzahl von Donnerstagmor- gen 08:00 Uhr bzw. ab Krippenbeginn bis Sonntagabend 18:00 Uhr, - in den Wochen mit gerader Wochenzahl von Donnerstagmorgen 08:00 Uhr bzw. ab Krippenbeginn bis Freitagmorgen 08:00 Uhr bzw. ab Krippenbeginn, wobei der Gesuchsgegner C._____ am Freitagmorgen in die Krippe bringt. Im Jahr 2023 gilt folgende Ferienregelung: Betreuung von C._____ durch den Gesuchsgegner - vom 25. April 2023 08:00 Uhr bis 30. April 2023 08:00 Uhr, - vom 30. Juli 2023 12:00 Uhr bis 5. August 2023 12:00 Uhr. Ab dem Jahr 2024 sind beide Parteien berechtigt und verpflichtet, C._____ drei Mal jährlich jeweils eine Woche am Stück zu sich oder mit sich in die Ferien zu nehmen. Die Parteien teilen sich vor Ferienantritt den geplanten Aufenthaltsort mit. Sie verpflichten sich, den Zeitpunkt der Ferien für das Folgejahr bis spä- testens Ende November des Vorjahres gegenseitig bekanntzugeben.</w:t>
      </w:r>
    </w:p>
    <w:p>
      <w:r>
        <w:t>- 11 - Bei Kollision kommt dem Gesuchsgegner in Jahren mit gerader Jahres- zahl das Entscheidungsrecht zu; in Jahren mit ungerader Jahreszahl der Gesuchstellerin. Der Gesuchsgegner betreut C._____ an den Doppelfeiertagen Weih- nachten jeweils alternierend am 24. bzw. 25. Dezember, jeweils von 12:00 Uhr bis 12:00 Uhr, wobei im Jahr 2023 am 24. Dezember. Fällt das Betreuungswochenende des Gesuchsgegners auf Ostern, be- ginnt seine Betreuungsverantwortung bereits ab Gründonnerstag, 10:00 Uhr, und dauert bis Ostermontag, 18:00 Uhr. In der übrigen Zeit wird C._____ von der Gesuchstellerin betreut. Weitergehende oder abweichende Betreuungsregelungen nach gegen- seitiger Absprache bleiben vorbehalten. Ist ein Elternteil aus welchen Gründen auch immer nicht in der Lage, die Betreuung gemäss dem hier vereinbarten Betreuungsplan selber zu übernehmen, ist er verpflichtet, für eine angemessene Betreuung des Sohnes durch Drittpersonen auf eigene Kosten besorgt zu sein. Eine Anfrage an den anderen Elternteil ist möglich; dieser ist jedoch nicht verpflichtet, die Betreuung zu übernehmen. Die Parteien stellen fest, dass die Parteien diese Regelung für die Dau- er des Getrenntlebens schliessen. Dem Gesuchsgegner ist es ein gros- ses Anliegen, mit zunehmendem Alter von C._____ diesen in zuneh- mendem Umfang zu betreuen. 2. Die Parteien übernehmen die Kosten für das zweitinstanzliche Verfahren je zur Hälfte und verzichten gegenseitig auf eine Parteientschädigung. 3. Die Parteien ziehen sämtliche darüber hinausgehenden Anträge zurück." II. Die Berufung hemmt die Rechtskraft des angefochtenen Entscheides im Umfang der Anträge (Art. 315 Abs. 1 ZPO). Vorweg ist daher festzustellen, dass die vor-</w:t>
      </w:r>
    </w:p>
    <w:p>
      <w:r>
        <w:t>- 12 - instanzliche Verfügung in der nicht angefochtenen Dispositiv-Ziffer 3 in Rechts- kraft erwachsen ist. III. 1. Soweit es Kinderbelange (Betreuungsanteile) zu regeln gibt, findet die Offi- zial- und Untersuchungsmaxime Anwendung (Art. 296 Abs. 1 ZPO). Daher unter- liegt die von den Parteien getroffene Vereinbarung im Sinne eines übereinstim- menden Parteiantrages der gerichtlichen Prüfung und Genehmigung (vgl. ZK- Bräm, Art. 176 ZGB N 18 und 117). Für die Genehmigung wird vorausgesetzt, dass mit der Vereinbarung das Kindeswohl gewahrt wird. Soweit keine Kinderbe- lange betroffen sind (Auskunftspflicht nach Art. 170 ZGB), mithin die Dispositi- onsmaxime zum Tragen kommt, ist die Vereinbarung nicht zu prüfen, sondern von dieser bloss Vormerk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