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LE220014 vom 16. September 2022</w:t>
      </w:r>
    </w:p>
    <w:p>
      <w:r>
        <w:t>ZH Obergericht, 2022-09-16, DE</w:t>
      </w:r>
    </w:p>
    <w:p>
      <w:r>
        <w:rPr>
          <w:b/>
        </w:rPr>
        <w:t xml:space="preserve">Quelle: </w:t>
      </w:r>
      <w:r>
        <w:t>https://mcp.opencaselaw.ch/entscheid/zh_obergericht_LE220014</w:t>
      </w:r>
    </w:p>
    <w:p>
      <w:r>
        <w:t>FR: ZH_OBERGERICHT LE220014 du 16 septembre 2022</w:t>
      </w:r>
    </w:p>
    <w:p>
      <w:r>
        <w:t>IT: ZH_OBERGERICHT LE220014 del 16 settembre 2022</w:t>
      </w:r>
    </w:p>
    <w:p>
      <w:pPr>
        <w:pStyle w:val="Heading2"/>
      </w:pPr>
      <w:r>
        <w:t>Erwägungen</w:t>
      </w:r>
    </w:p>
    <w:p>
      <w:r>
        <w:rPr>
          <w:b/>
        </w:rPr>
        <w:t>E. 1</w:t>
      </w:r>
    </w:p>
    <w:p>
      <w:r>
        <w:t>Die Parteien sind verheiratet und haben zwei Kinder, C._____, geboren am tt. mm. 2005, und D._____, geboren am tt. mm. 2008. Mit Eingabe vom 18. De- zember 2020 machte die Gesuchstellerin bei der Vorinstanz ein Eheschutzbegeh- ren anhängig (Urk. 1). Für den genauen Prozessverlauf ist auf den angefochtenen Entscheid zu verweisen (Urk. 93 S. 5 ff.). Am 22. Februar 2022 fällte die Vo- rinstanz das eingangs wiedergegebene Urteil (Urk. 93 S. 53 ff.).</w:t>
      </w:r>
    </w:p>
    <w:p>
      <w:r>
        <w:rPr>
          <w:b/>
        </w:rPr>
        <w:t>E. 2</w:t>
      </w:r>
    </w:p>
    <w:p>
      <w:r>
        <w:t>Der Gesuchsgegner und Berufungskläger (fortan Gesuchsgegner) erhob am</w:t>
      </w:r>
    </w:p>
    <w:p>
      <w:r>
        <w:rPr>
          <w:b/>
        </w:rPr>
        <w:t>E. 7</w:t>
      </w:r>
    </w:p>
    <w:p>
      <w:r>
        <w:t>März 2022 fristgerecht Berufung mit den erwähnten Anträgen (Urk. 92 S. 2). Mit Verfügung vom 9. März 2022 wurde dem Gesuchsgegner Frist angesetzt, um den Kostenvorschuss zu leisten, welcher innert erstreckter Frist einging (Urk. 96-98). Die Berufungsantwort der Gesuchstellerin und Berufungsbeklagten (fortan Ge- suchstellerin) datiert vom 18. Mai 2022 (Urk. 102) und wurde mit Verfügung vom</w:t>
      </w:r>
    </w:p>
    <w:p>
      <w:r>
        <w:t>- 6 - 23. Mai 2022 der Gegenpartei zur Kenntnisnahme zugestellt (Urk. 104). Weitere Eingaben sind nicht erfolgt. II. 1. Mit der Berufung kann sowohl die unrichtige Rechtsanwendung als auch die unrichtige Feststellung des Sachverhalts geltend gemacht werden (Art. 310 ZPO). Die Berufungsinstanz verfügt über unbeschränkte Kognition bezüglich Tat- und Rechtsfragen, einschliesslich der Frage richtiger Ermessensausübung (Angemes- senheitsprüfung; vgl. BGer 5A_184/2013 vom 26. April 2013, E. 3.1). In der Beru- fungsschrift (Art. 311 ZPO) ist hinreichend genau aufzuzeigen, inwiefern der erst- instanzliche Entscheid in den angefochtenen Punkten als fehlerhaft zu betrachten ist bzw. an einem der genannten Mängel leidet (vgl. BGE 138 III 374 E. 4.3.1; BGer 5A_247/2013 vom 15. Oktober 2013, E. 3.2; BGer 5A_751/2014 vom 28. Mai 2015, E. 2.1). Die Berufungsinstanz hat sich – abgesehen von offensicht- lichen Mängeln – grundsätzlich auf die Beurteilung der Beanstandungen zu be- schränken, die in der schriftlichen Begründung formgerecht gegen den erstin- stanzlichen Entscheid erhoben werden (vgl. BGE 142 III 413 E. 2.2.4 m.w.H.). In- sofern erfährt der Grundsatz "iura novit curia" (Art. 57 ZPO) im Berufungsverfah- ren eine Relativierung (BK ZPO I-Hurni, Art. 57 N 21 und N 39 ff.; Glasl, DIKE- Komm-ZPO, Art. 57 N 22). Aufgrund der umfassenden Überprüfungsbefugnis ist die Berufungsinstanz nicht an die mit den Rügen vorgebrachte Argumentation oder an die Erwägungen der Vorinstanz gebunden, sondern kann die Rügen auch mit abweichenden Erwägungen gutheissen oder abweisen (ZK ZPO- Reetz/Theiler, Art. 310 N 6). 2. Die Berufungsschrift muss konkrete Berufungsanträge enthalten. Das Rechtsbegehren muss so bestimmt sein, dass es im Falle der Gutheissung der Klage unverändert zum Urteil erhoben werden kann; die auf Geldzahlung gerich- teten Berufungsanträge sind zu beziffern. Auf eine Berufung mit einem formell mangelhaften Rechtsbegehren ist nur ausnahmsweise einzutreten, wenn sich nämlich aus der Begründung ergibt, welcher Geldbetrag zuzusprechen ist. Ent- sprechend sind Rechtsbegehren im Lichte der Begründung auszulegen (BGE 137</w:t>
      </w:r>
    </w:p>
    <w:p>
      <w:r>
        <w:t>- 7 - III 617 E. 4.3 und 6.2; BGer 5A_466/2016 vom 12.4.2017, E. 4.2). Das Erforder- nis, in der Berufungseingabe im Falle von Geldforderungen bezifferte Anträge zu verlangen, gilt auch im Bereich der vorliegend anzuwendenden Offizial- und Un- tersuchungsmaxime (Art. 296 Abs. 1 ZPO), da letztere nur die Art der Sammlung des Prozessstoffs, nicht aber die Frage der Einleitung und Beendigung des Ver- fahrens betrifft. Sie beschlägt auch nicht die Frage, wie das Rechtsbegehren for- muliert sein muss, damit der Rechtsstreit überhaupt an die Hand genommen wer- den kann (vgl. BGE 137 III 617 E. 5.2). 3. Mit den Berufungsanträgen Ziffern 1 und 2 strebt der Gesuchsgegner die Neufestsetzung der Unterhaltspflicht für seine beiden Söhne an, und zwar bean- tragt er für die Zeit ab Februar 2022 Barunterhaltsbeiträge in der Höhe der "IV- Kinderrente". Weder aus dem Antrag noch aus der Begründung lässt sich ein be- zifferter Antrag erschliessen. Auch aus dem Umstand, dass der Gesuchsgegner durch seinen Arzt am 7. Februar 2022 bei der IV-Stelle angemeldet worden ist (Urk. 95/2, 95/3), lässt sich kein konkreter Geldbetrag herleiten. Aus heutiger Sicht ist unklar, ob, wann und in welcher Höhe der Gesuchsgegner eine Rente wird beanspruchen können (vgl. Urk. 92 S. 7: «Er ist dann entsprechend zu ver- pflichten, die IV-Kinderrenten an die beiden Söhne weiterzuleiten.»; Hervorhe- bung durch das Gericht). Wie die Gesuchstellerin zu Recht einwendet, gewährt die Invalidenversicherung in erster Linie Eingliederungsmassnahmen, und der Anspruch auf eine Rente kann grundsätzlich erst entstehen, wenn die Erwerbsfä- higkeit nicht durch zumutbare Eingliederungsmassnahmen wiederhergestellt wer- den kann (Urk. 102 S. 8; vgl. auch Art. 28 Abs. 1bis IVG). Damit erfüllt der Ge- suchsgegner die vorstehend erwähnten Anforderungen an die Stellung klarer Be- rufungsanträge bzw. die Bezifferung von Geldleistungen nicht. Auf seine Berufung ist daher nicht einzutreten. III. Bei diesem Ausgang des Verfahrens wird der Gesuchsgegner kosten- und ent- schädigungspflichtig (Art. 106 Abs. 1 ZPO). Die Gerichtsgebühr ist in Anwendung von § 6 Abs. 2 lit. b GebV OG in Verbindung mit § 5 und § 12 Abs. 1 und 2</w:t>
      </w:r>
    </w:p>
    <w:p>
      <w:r>
        <w:t>- 8 - GebVO OG auf Fr. 1'500.– festzusetzen. Die Parteientschädigung ist in Anwen- dung von § 6 Abs. 3 AnwGebV in Verbindung mit § 5 und § 13 Abs. 1 und 2 An- wGebV auf Fr. 1'200.– zuzüglich 7.7 % MwSt festzulegen.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