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LE220011 vom 25. Oktober 2022</w:t>
      </w:r>
    </w:p>
    <w:p>
      <w:r>
        <w:t>ZH Obergericht, 2022-10-25, DE</w:t>
      </w:r>
    </w:p>
    <w:p>
      <w:r>
        <w:rPr>
          <w:b/>
        </w:rPr>
        <w:t xml:space="preserve">Quelle: </w:t>
      </w:r>
      <w:r>
        <w:t>https://mcp.opencaselaw.ch/entscheid/zh_obergericht_LE220011</w:t>
      </w:r>
    </w:p>
    <w:p>
      <w:r>
        <w:t>FR: ZH_OBERGERICHT LE220011 du 25 octobre 2022</w:t>
      </w:r>
    </w:p>
    <w:p>
      <w:r>
        <w:t>IT: ZH_OBERGERICHT LE220011 del 25 ottobre 2022</w:t>
      </w:r>
    </w:p>
    <w:p>
      <w:pPr>
        <w:pStyle w:val="Heading2"/>
      </w:pPr>
      <w:r>
        <w:t>Erwägungen</w:t>
      </w:r>
    </w:p>
    <w:p>
      <w:r>
        <w:rPr>
          <w:b/>
        </w:rPr>
        <w:t>E. 1</w:t>
      </w:r>
    </w:p>
    <w:p>
      <w:r>
        <w:t>Die Parteien sind seit 1996 verheiratet. Seit März 2017 leben sie getrennt. Aus der Ehe ging eine inzwischen volljährige Tochter, E._____, geboren am tt. Oktober 1998, hervor. Beide Parteien sind erwerbstätig (Urk. 1 S. 2, 6, 10; Urk. 4/4 S. 1; Prot. I S. 30; Urk. 16 S. 2 ff.).</w:t>
      </w:r>
    </w:p>
    <w:p>
      <w:r>
        <w:rPr>
          <w:b/>
        </w:rPr>
        <w:t>E. 2</w:t>
      </w:r>
    </w:p>
    <w:p>
      <w:r>
        <w:t>Mit Eingabe vom 29. Mai 2017 machte die Gesuchstellerin, Erstberufungs- beklagte und Zweitberufungsklägerin (fortan Gesuchstellerin) beim Einzelgericht am Bezirksgericht Uster ein begründetes Eheschutzgesuch rechtshängig (Urk. 1). Die schriftliche Gesuchsantwort des Gesuchsgegners, Erstberufungsklägers und Zweitberufungsbeklagten (fortan Gesuchsgegner) datiert vom 8. August 2017</w:t>
      </w:r>
    </w:p>
    <w:p>
      <w:r>
        <w:t>- 7 - (Urk. 16). Der weitere Prozessverlauf ergibt sich aus dem angefochtenen Ent- scheid (Urk. 134 S. 2 f.; vgl. auch Urk. 154 S. 6 f.). Mit eingangs wiedergegebe- nem Urteil vom 21. November 2019 regelte die Vorinstanz das Getrenntleben der Parteien (Urk. 128 = Urk. 134).</w:t>
      </w:r>
    </w:p>
    <w:p>
      <w:r>
        <w:rPr>
          <w:b/>
        </w:rPr>
        <w:t>E. 3</w:t>
      </w:r>
    </w:p>
    <w:p>
      <w:r>
        <w:t>Dagegen erhoben beide Parteien rechtzeitig (vgl. Urk. 129) mit Eingaben vom 2. bzw. 4. Dezember 2019 je Berufung mit den eingangs erwähnten Anträ- gen (Urk. 133 und Urk. 149/133). Über den Gang der Berufungsverfahren gibt das Urteil der Kammer vom 17. März 2021 Auskunft (Urk. 154 S. 7 ff.).</w:t>
      </w:r>
    </w:p>
    <w:p>
      <w:r>
        <w:rPr>
          <w:b/>
        </w:rPr>
        <w:t>E. 4</w:t>
      </w:r>
    </w:p>
    <w:p>
      <w:r>
        <w:t>Die erkennende Kammer vereinigte und erledigte die Berufungsverfahren unter dem Datum des 17. März 2021 mit folgendem Beschluss und Urteil (Urk. 154 S. 55 ff.):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