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LE210070 vom 20. April 2022</w:t>
      </w:r>
    </w:p>
    <w:p>
      <w:r>
        <w:t>ZH Obergericht, 2022-04-20, DE</w:t>
      </w:r>
    </w:p>
    <w:p>
      <w:r>
        <w:rPr>
          <w:b/>
        </w:rPr>
        <w:t xml:space="preserve">Quelle: </w:t>
      </w:r>
      <w:r>
        <w:t>https://mcp.opencaselaw.ch/entscheid/zh_obergericht_LE210070</w:t>
      </w:r>
    </w:p>
    <w:p>
      <w:r>
        <w:t>FR: ZH_OBERGERICHT LE210070 du 20 avril 2022</w:t>
      </w:r>
    </w:p>
    <w:p>
      <w:r>
        <w:t>IT: ZH_OBERGERICHT LE210070 del 20 aprile 2022</w:t>
      </w:r>
    </w:p>
    <w:p>
      <w:pPr>
        <w:pStyle w:val="Heading2"/>
      </w:pPr>
      <w:r>
        <w:t>Erwägungen</w:t>
      </w:r>
    </w:p>
    <w:p>
      <w:r>
        <w:rPr>
          <w:b/>
        </w:rPr>
        <w:t>E. 1</w:t>
      </w:r>
    </w:p>
    <w:p>
      <w:r>
        <w:t>Mit Schreiben vom 14. April 2022, beim Obergericht eingegangen am 19. April 2022, zog der Berufungskläger die Berufung zurück (Urk. 228). Das Ver- fahren ist entsprechend abzuschreiben.</w:t>
      </w:r>
    </w:p>
    <w:p>
      <w:r>
        <w:rPr>
          <w:b/>
        </w:rPr>
        <w:t>E. 2</w:t>
      </w:r>
    </w:p>
    <w:p>
      <w:r>
        <w:t>Die Parteien schlossen am 13. April 2022 eine Scheidungsvereinba- rung, in welcher sie übereinkamen, die Kosten des Eheschutzverfahrens (sämtli- cher Instanzen) hälftig zu teilen und jeweils auf eine Parteientschädigung zu ver- zichten (Urk. 229/1 S. 6). Voraussetzung eines gerichtlichen Vergleichs ist unter anderem das Vorliegen eines rechtshängigen Verfahrens (Leumann Liebster, in: Sutter-Somm/Hasenböhler/Leuenberger, ZPO Komm., Art. 241 N 14). Einigen sich die Parteien in einem Vergleich auch über die Kostentragung, ist das Gericht – in Beachtung des Grundsatzes der Dispositionsmaxime – daran gebunden, so- fern damit nicht der Staat benachteiligt wird (BSK ZPO-Rüegg/Rüegg, Art. 109 N 1). In Anwendung von Art. 109 Abs. 1 ZPO sind daher die Kosten des erst- und zweitinstanzlichen Verfahrens den Parteien je hälftig aufzuerlegen und gegensei- tig keine Parteientschädigungen zuzusprechen. Über die Regelung der Kosten- und Entschädigungsfolgen des bundesgerichtlichen Verfahrens 5A_1031/2019 liegt jedoch bereits ein rechtskräftiger Entscheid vor. Die Vereinbarung der Par- teien ist diesbezüglich lediglich vorzumerken.</w:t>
      </w:r>
    </w:p>
    <w:p>
      <w:r>
        <w:rPr>
          <w:b/>
        </w:rPr>
        <w:t>E. 3</w:t>
      </w:r>
    </w:p>
    <w:p>
      <w:r>
        <w:t>Der Berufungskläger ersucht weiter um Gewährung der unentgeltlichen Rechtspflege mit der Begründung, er sei bedürftig. Er erhalte derzeit Arbeitslosen- taggelder in Höhe von Fr. 4'776.–. Seine Miete betrage Fr. 2'690.–, der Grundbe- trag für ihn Fr. 1'350.– und derjenige für die beiden Kinder zusammen Fr. 600.–. Daneben müsse er Krankenkassenbeiträge und Unterhalt bezahlen (Urk. 196 Rz. 57). Die Vorinstanz finde, er sei nicht bedürftig, da er Fr. 20'000.– aus der Erbschaft seines Vaters lösen könne. Der Erbanteil sei bis zur Teilung jedoch nicht liquid und könne nicht für die Bedürftigkeit herangezogen werden (Urk. 196 Rz. 58). Gemäss dem Urteil der Vorinstanz müsse er einmal Fr. 4'000.– sowie Unterhaltsbeiträge für 17 Monate nachbezahlen. Diese habe er zwar schon be- zahlt, könne sie aber nach dem Urteil der Vorinstanz nirgends geltend machen. Allfällige Mittel, welche die Vorinstanz entdeckt habe, wären daher durch die</w:t>
      </w:r>
    </w:p>
    <w:p>
      <w:r>
        <w:t>- 3 - Schulden, die durch das vorinstanzliche Urteil entstanden seien, vernichtet wor- den (Urk. 196 Rz. 59). Er sei zudem zwar Eigentümer eines Hauses, könne aller- dings die Hypothek nicht erhöhen. Es handle sich um nicht liquides Vermögen, welches nicht zur Finanzierung des Prozesses beigezogen werden könne. Sons- tiges Vermögen habe er nicht, sondern er habe sich im Gegenteil bei seiner Fami- lie verschulden müssen (Urk. 196 Rz. 59).</w:t>
      </w:r>
    </w:p>
    <w:p>
      <w:r>
        <w:rPr>
          <w:b/>
        </w:rPr>
        <w:t>E. 4</w:t>
      </w:r>
    </w:p>
    <w:p>
      <w:r>
        <w:t>Eine Person hat Anspruch auf unentgeltliche Rechtspflege, wenn sie nicht über die erforderlichen Mittel verfügt und ihr Rechtsbegehren nicht aus- sichtslos erscheint (Art. 117 ZPO). Der Berufungskläger verfügt über eine Liegen- schaft, welche in seinem Alleineigentum steht und einen Wert von Fr. 227'000.– aufweist (Fr. 1'027'000.– abzüglich der Hypothek von Fr. 800'000.–; Urk. 140/1 S. 4, S. 13 in EE200048). Weiter ist er an der Erbschaft seines Vaters beteiligt. Da er die Ausführungen der Vorinstanz nicht beanstandet, wonach er über einen Erbanteil von mindestens Fr. 20'000.– verfüge (Urk. 196 Rz. 58; Urk. 197 S. 27), ist von diesem Wert auszugehen. Ausstehende Unterhaltsbeiträge sind keine mehr vorhanden (vgl. Urk. 229/1 Ziff. 11) und weitere Schulden – insbesondere bei der Familie des Berufungsklägers – wurden nicht belegt. Die angeführten "Klagebeilagen" 38-40, 77 und 78 (Urk. 196 Rz. 59) finden sich weder in den Ak- ten des Verfahrens EE180072 noch in denjenigen des Verfahrens EE200048. Damit verfügt der Berufungskläger über ein Vermögen von Fr. 227'000.– (die Lie- genschaft) sowie mindestens Fr. 20'000.– aus der Erbschaft. Diese Vermögens- werte übersteigen einen Notgroschen bei weitem und wären zumindest im Falle der Erbschaft entgegen der Ansicht des Berufungsklägers wohl durchaus innert nützlicher Frist erhältlich zu machen. Die Erbschaft besteht nebst einer Liegen- schaft nämlich auch aus Wertschriften im Wert von "&lt;Fr. 50'000.–" (Urk. 157 Rz. 53 in EE200048). Der Berufungskläger bringt nichts vor, was gegen eine par- tielle Erbteilung (die Teilung der Wertschriften) spricht. Gemäss Berufungskläger seien sich die Mitglieder der Erbengemeinschaft zwar einig, dass die Erbschaft nicht geteilt werden soll, damit die Mutter des Berufungsklägers weiterhin in der Liegenschaft leben könne (Urk. 157 Rz. 54 in EE200048). Letzteres ist auch mög- lich, wenn die übrige Erbschaft – die Wertschriften – geteilt und der Berufungsklä- ger seinen Erbanteil aus den Wertschriften beziehen würde, welche innert einer</w:t>
      </w:r>
    </w:p>
    <w:p>
      <w:r>
        <w:t>- 4 - vernünftigen Frist verkauft werden könnten. Dass er je darum ersucht habe oder dies nicht möglich sein sollte, legt der Berufungskläger nicht dar. Damit hat er sei- ne Mittellosigkeit nicht glaubhaft gemacht, weshalb das Gesuch um unentgeltliche Rechtspflege für das Berufungsverfahren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