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LE200032 vom 11. Dezember 2020</w:t>
      </w:r>
    </w:p>
    <w:p>
      <w:r>
        <w:t>ZH Obergericht, 2020-12-11, DE</w:t>
      </w:r>
    </w:p>
    <w:p>
      <w:r>
        <w:rPr>
          <w:b/>
        </w:rPr>
        <w:t xml:space="preserve">Quelle: </w:t>
      </w:r>
      <w:r>
        <w:t>https://mcp.opencaselaw.ch/entscheid/zh_obergericht_LE200032</w:t>
      </w:r>
    </w:p>
    <w:p>
      <w:r>
        <w:t>FR: ZH_OBERGERICHT LE200032 du 11 décembre 2020</w:t>
      </w:r>
    </w:p>
    <w:p>
      <w:r>
        <w:t>IT: ZH_OBERGERICHT LE200032 del 11 dicembre 2020</w:t>
      </w:r>
    </w:p>
    <w:p>
      <w:pPr>
        <w:pStyle w:val="Heading2"/>
      </w:pPr>
      <w:r>
        <w:t>Erwägungen</w:t>
      </w:r>
    </w:p>
    <w:p>
      <w:r>
        <w:rPr>
          <w:b/>
        </w:rPr>
        <w:t>E. 1</w:t>
      </w:r>
    </w:p>
    <w:p>
      <w:r>
        <w:t>Die Parteien heirateten am tt. August 2017 in E._____ (Urk. 6/2 Rz. 2; Urk. 6/25 Rz. 4). Am tt.mm.2018 kam die Tochter C._____ zur Welt (Urk. 6/2 Rz. 9; Urk. 6/25 Rz. 4). Am 20. November 2019 leitete die Gesuchstellerin und Berufungsklägerin (nachfolgend: Gesuchstellerin) beim Bezirksgericht Meilen ein Eheschutzverfahren ein (Urk. 6/2). Betreffend den Verlauf des erstinstanzlichen Verfahrens kann auf die Erwägungen der Vorinstanz verwiesen werden (Urk. 6/93 E. I.). Letztere regelte mit eingangs wiedergegebener Verfügung vom 20. Mai 2020 im Rahmen vorsorglicher Massnahmen die Betreuungsanteile der Parteien (Urk. 2 S. 26 f. = Urk. 6/93 S. 26 f.).</w:t>
      </w:r>
    </w:p>
    <w:p>
      <w:r>
        <w:rPr>
          <w:b/>
        </w:rPr>
        <w:t>E. 2</w:t>
      </w:r>
    </w:p>
    <w:p>
      <w:r>
        <w:t>[…]</w:t>
      </w:r>
    </w:p>
    <w:p>
      <w:r>
        <w:rPr>
          <w:b/>
        </w:rPr>
        <w:t>E. 3</w:t>
      </w:r>
    </w:p>
    <w:p>
      <w:r>
        <w:t>Die Parteien vereinbaren, die Betreuung der gemeinsamen Tochter, C._____, geboren am tt.mm.2018, über die Feiertage wie in Ziffer 2 hiervor ohne Unterbruch fortzuführen.</w:t>
      </w:r>
    </w:p>
    <w:p>
      <w:r>
        <w:rPr>
          <w:b/>
        </w:rPr>
        <w:t>E. 4</w:t>
      </w:r>
    </w:p>
    <w:p>
      <w:r>
        <w:t>Der Gesuchsgegner verpflichtet sich, der Gesuchstellerin für die Dauer des Eheschutzverfahrens in Anrechnung an eine allfällige später fällig werdende Unterhaltspflicht und unpräjudiziell ab 1. April 2020 Fr. 800.– monatlich – zusätzlich zu den derzeit monatlich übernommenen Mietkosten von Fr. 2'500.– –zu bezahlen.</w:t>
      </w:r>
    </w:p>
    <w:p>
      <w:r>
        <w:rPr>
          <w:b/>
        </w:rPr>
        <w:t>E. 5</w:t>
      </w:r>
    </w:p>
    <w:p>
      <w:r>
        <w:t>Der Gesuchsgegner verpflichtet sich, der Gesuchstellerin einen Prozesskos- tenbeitrag von Fr. 9'000.– zu bezahlen, in Anrechnung allfälliger güterrechtli- cher Ansprüche im Scheidungsverfahren.</w:t>
      </w:r>
    </w:p>
    <w:p>
      <w:r>
        <w:rPr>
          <w:b/>
        </w:rPr>
        <w:t>E. 6</w:t>
      </w:r>
    </w:p>
    <w:p>
      <w:r>
        <w:t>Es wird vorgemerkt, dass die Parteien für das Berufungsverfahren gegensei- tig auf eine Parteientschädigung verzichtet haben.</w:t>
      </w:r>
    </w:p>
    <w:p>
      <w:r>
        <w:rPr>
          <w:b/>
        </w:rPr>
        <w:t>E. 7</w:t>
      </w:r>
    </w:p>
    <w:p>
      <w:r>
        <w:t>Schriftliche Mitteilung an die Parteien sowie an die Vorinstanz unter Beilage der Akten, je gegen Empfangsschein.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BGG und Art. 98 BGG. Es handelt sich um eine nicht vermögensrechtliche Angelegenheit. Die Beschwerde an das Bundesgericht hat keine aufschiebende Wirkung.</w:t>
      </w:r>
    </w:p>
    <w:p>
      <w:r>
        <w:t>- 14 - Hinsichtlich des Fristenlaufs gelten die Art. 44 ff. BGG. Zürich, 11. Dezember 2020 Obergericht des Kantons Zürich I. Zivilkammer Der Gerichtsschreiber: Dr. Chr. Arnold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