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LE200031 vom 9. Juli 2020</w:t>
      </w:r>
    </w:p>
    <w:p>
      <w:r>
        <w:t>ZH Obergericht, 2020-07-09, DE</w:t>
      </w:r>
    </w:p>
    <w:p>
      <w:r>
        <w:rPr>
          <w:b/>
        </w:rPr>
        <w:t xml:space="preserve">Quelle: </w:t>
      </w:r>
      <w:r>
        <w:t>https://mcp.opencaselaw.ch/entscheid/zh_obergericht_LE200031</w:t>
      </w:r>
    </w:p>
    <w:p>
      <w:r>
        <w:t>FR: ZH_OBERGERICHT LE200031 du 9 juillet 2020</w:t>
      </w:r>
    </w:p>
    <w:p>
      <w:r>
        <w:t>IT: ZH_OBERGERICHT LE200031 del 9 luglio 2020</w:t>
      </w:r>
    </w:p>
    <w:p>
      <w:pPr>
        <w:pStyle w:val="Heading2"/>
      </w:pPr>
      <w:r>
        <w:t>Erwägungen</w:t>
      </w:r>
    </w:p>
    <w:p>
      <w:r>
        <w:rPr>
          <w:b/>
        </w:rPr>
        <w:t>E. 1</w:t>
      </w:r>
    </w:p>
    <w:p>
      <w:r>
        <w:t>Die Parteien sind verheiratet und haben eine gemeinsame Tochter, E._____ (fortan E._____), geboren am tt.mm.2018. Am 17. April 2019 erliess die Kindes- und Erwachsenenschutzbehörde der Bezirke Winterthur und Andelfingen (fortan KESB) superprovisorische Kindesschutzmassnahmen. Dabei wurde den Parteien insbesondere das Aufenthaltsbestimmungsrecht für E._____ entzogen, E._____ wurde in der Stiftung F._____, Zürich, untergebracht und es wurde eine Beistandschaft im Sinne von Art. 308 Abs. 1 und Abs. 2 ZGB errichtet (vgl. im Einzelnen Urk. 12/28). Mit Entscheid der KESB vom 17. Mai 2019 wurden die su- perprovisorischen Massnahmen im Wesentlichen bestätigt und als vorsorgliche Massnahmen vorläufig, mindestens für die Dauer der Rechtshängigkeit der gegen beide Parteien eingeleiteten Strafverfahren, weitergeführt (vgl. im Einzelnen Urk. 12/110).</w:t>
      </w:r>
    </w:p>
    <w:p>
      <w:r>
        <w:rPr>
          <w:b/>
        </w:rPr>
        <w:t>E. 2</w:t>
      </w:r>
    </w:p>
    <w:p>
      <w:r>
        <w:t>Mit Eingabe vom 28. August 2019 machte der Gesuchsteller und Beru- fungskläger (fortan Gesuchsteller) bei der Vorinstanz ein Eheschutzverfahren mit den obgenannten Rechtsbegehren anhängig (Urk. 1). An der mündlichen Ver- handlung vom 11. Oktober 2019 schlossen die Parteien eine Teilvereinbarung, in welcher sie sich im Rahmen von vorsorglichen Massnahmen für die Dauer des Eheschutzverfahrens insbesondere mit der Weiterführung der von der KESB an- geordneten Kindesschutzmassnahmen einverstanden erklärten. Ausserdem be-</w:t>
      </w:r>
    </w:p>
    <w:p>
      <w:r>
        <w:t>- 8 - antragten die Parteien gemeinsam, dass das Gericht betreffend Kinderbelange einen umfassenden Abklärungsbericht in Auftrag gebe (vgl. im Einzelnen Urk. 16; Prot. I S. 24 f.). Am 31. Oktober 2019 wurde die Einholung eines umfassenden Abklärungsberichts zur Situation des Kindes und der Eltern angeordnet und der G._____ GmbH (G._____; fortan G._____) ein entsprechender Abklärungsauftrag erteilt (Urk. 20; Urk. 22). Nachdem der Bericht der G._____ vom 12. Februar 2020 bei der Vorinstanz eingegangen und den Parteien zugestellt worden war (Urk. 31- 34), wurden die Parteien zur Fortsetzung der mündlichen Verhandlung auf den 23. März 2020 vorgeladen (Urk. 35). Wegen der ausserordentlichen Lage im Zu- sammenhang mit der Corona-Pandemie wurde den Parteien die Vorladung mit Verfügung vom 17. März 2020 wieder abgenommen, das Verfahren schriftlich fortgeführt und den Parteien Frist angesetzt, um ihre abschliessenden Anträge zu stellen und zum G._____-Bericht, zu den Kinderbelangen und weiteren Ehe- schutzmassnahmen Stellung zu nehmen (Urk. 37). Mit Verfügung vom 31. März 2020 wurde beiden Parteien die unentgeltliche Rechtspflege bewilligt; dem Ge- suchsteller wurde Rechtsanwalt lic. iur. X._____ und der Gesuchsgegnerin und Berufungsbeklagten (fortan Gesuchsgegnerin) Rechtsanwalt Y2._____ je als un- entgeltlicher Rechtsvertreter bestellt (Urk. 42). Die mit Verfügung von 17. März 2020 einverlangte schriftliche Stellungnahme des Gesuchstellers datiert vom 31. März 2020 (Urk. 40) und wurde der Gesuchsgegnerin samt Beilagen zur Kenntnisnahme zugestellt (Urk. 45). Nach Eingang der Stellungnahme der Ge- suchsgegnerin vom 8. Mai 2020 (Urk. 46) erliess die Vorinstanz am 12. Mai 2020 das eingangs wiedergegebene Urteil (Urk. 58).</w:t>
      </w:r>
    </w:p>
    <w:p>
      <w:r>
        <w:rPr>
          <w:b/>
        </w:rPr>
        <w:t>E. 3</w:t>
      </w:r>
    </w:p>
    <w:p>
      <w:r>
        <w:t>Dagegen erhob der Gesuchsteller innert Frist (vgl. Urk. 49) Berufung mit den obgenannten Anträgen (Urk. 57). Mit Eingaben vom 24. und 29. Juni 2020 orientierte Rechtsanwalt ass. iur. Y1._____ unter Beilage einer Vollmacht der Ge- suchsgegnerin darüber, dass Letztere ihn mit der Interessenwahrung beauftragt habe, und stellte unter Beilage einer Sozialhilfebestätigung ein Gesuch um Bewil- ligung der unentgeltlichen Rechtspflege (Urk. 63-68). Am 30. Juni 2020 teilte der frühere Rechtsvertreter der Gesuchsgegnerin, Rechtsanwalt Y2._____, das Erlö- schen des Mandatsverhältnisses mit (Urk. 69). Da sich die Berufung als offen- sichtlich unbegründet erweist, kann auf die Einholung einer Berufungsantwort</w:t>
      </w:r>
    </w:p>
    <w:p>
      <w:r>
        <w:t>- 9 - verzichtet werden (Art. 312 Abs. 1 ZPO). Die vorinstanzlichen Akten wurden bei- gezogen (Urk. 1-56). II. 1. Mit der vorliegenden Berufung verlangt der Gesuchsteller in Bezug auf die Tochter E._____ die Übertragung der alleinigen elterlichen Sorge sowie die Zuteilung der alleinigen Obhut an ihn. Im Weiteren wehrt er sich gegen die von der Vorinstanz getroffenen Anordnungen betreffend die eheliche Wohnung. Ange- fochten sind damit die Dispositiv-Ziffern 2, 4 und 5 des vorinstanzlichen Urteils, aber auch die Anordnungen in den Dispositiv-Ziffern 6b) (besondere Befugnisse),</w:t>
      </w:r>
    </w:p>
    <w:p>
      <w:r>
        <w:rPr>
          <w:b/>
        </w:rPr>
        <w:t>E. 3.1</w:t>
      </w:r>
    </w:p>
    <w:p>
      <w:r>
        <w:t>Mit der Berufung kann eine unrichtige Rechtsanwendung und eine un- richtige Feststellung des Sachverhalts geltend gemacht werden (Art. 310 ZPO). Die Berufungsinstanz verfügt über eine vollständige Überprüfungsbefugnis der Streitsache, mithin über unbeschränkte Kognition bezüglich Tat- und Rechtsfra- gen, einschliesslich der Frage richtiger Ermessensausübung (Angemessenheits- prüfung; BGer 5A_184/2013 vom 26. April 2013, E. 3.1). In der schriftlichen Beru- fungsbegründung (Art. 311 Abs. 1 ZPO) ist hinreichend genau aufzuzeigen, inwie- fern der erstinstanzliche Entscheid in den angefochtenen Punkten als fehlerhaft zu betrachten ist bzw. an einem der genannten Fehler leidet (BGE 142 I 93 E. 8.2; 138 III 374 E. 4.3.1). Die Berufungsinstanz hat sich – abgesehen von offensichtli- chen Mängeln – grundsätzlich auf die Beurteilung der Beanstandungen zu be- schränken, die in der Berufungsschrift in rechtsgenügender Weise erhoben wer- den (vgl. BGE 142 III 413 E. 2.2.4). In diesem Rahmen ist insoweit auf die Partei-</w:t>
      </w:r>
    </w:p>
    <w:p>
      <w:r>
        <w:t>- 10 - vorbringen einzugehen, als dies für die Entscheidfindung erforderlich ist (vgl. BGE 134 I 83 E. 4.1).</w:t>
      </w:r>
    </w:p>
    <w:p>
      <w:r>
        <w:rPr>
          <w:b/>
        </w:rPr>
        <w:t>E. 3.2</w:t>
      </w:r>
    </w:p>
    <w:p>
      <w:r>
        <w:t>Im Berufungsverfahren sind neue Vorbringen grundsätzlich nur noch unter den Voraussetzungen von Art. 317 Abs. 1 ZPO zulässig. Art. 296 ZPO sta- tuiert für Kinderbelange in familienrechtlichen Angelegenheiten – wie sie vorlie- gend zu beurteilen sind – den Untersuchungs- und Offizialgrundsatz, weshalb das Gericht in diesem Bereich den Sachverhalt von Amtes wegen erforscht und ohne Bindung an die Parteianträge entscheidet. In Verfahren, welche der umfassenden Untersuchungsmaxime unterstehen, können die Parteien auch im Berufungsver- fahren neue Tatsachen und Beweismittel unbeschränkt vorbringen. Die Bestim- mung von Art. 317 Abs. 1 ZPO gilt somit nicht für Verfahren, in welchen Kinderbe- lange zu beurteilen sind (BGE 144 III 349 E. 4.2.1). III. A. Rüge der Verletzung des rechtlichen Gehörs</w:t>
      </w:r>
    </w:p>
    <w:p>
      <w:r>
        <w:rPr>
          <w:b/>
        </w:rPr>
        <w:t>E. 7</w:t>
      </w:r>
    </w:p>
    <w:p>
      <w:r>
        <w:t>und 8. Da die Berufung die Rechtskraft und die Vollstreckbarkeit des angefoch- tenen Entscheids nur im Umfang der Anträge hemmt (Art. 315 Abs. 1 ZPO), sind die nicht angefochtenen Dispositiv-Ziffern 1, 3 sowie 9-14 des vorinstanzlichen Urteils in Rechtskraft erwachsen. Dies ist vorzumerken. 2. Betreffend die summarische Natur des vorliegenden Eheschutzverfah- rens und insbesondere das Erfordernis des blossen Glaubhaftmachens der rechtserheblichen Tatsachen kann vorweg auf die zutreffenden Ausführungen im angefochtenen Urteil verwiesen werden (Urk. 58 E. II.1 S.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