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LE190055 vom 5. Februar 2020</w:t>
      </w:r>
    </w:p>
    <w:p>
      <w:r>
        <w:t>ZH Obergericht, 2020-02-05, DE</w:t>
      </w:r>
    </w:p>
    <w:p>
      <w:r>
        <w:rPr>
          <w:b/>
        </w:rPr>
        <w:t xml:space="preserve">Quelle: </w:t>
      </w:r>
      <w:r>
        <w:t>https://mcp.opencaselaw.ch/entscheid/zh_obergericht_LE190055</w:t>
      </w:r>
    </w:p>
    <w:p>
      <w:r>
        <w:t>FR: ZH_OBERGERICHT LE190055 du 5 février 2020</w:t>
      </w:r>
    </w:p>
    <w:p>
      <w:r>
        <w:t>IT: ZH_OBERGERICHT LE190055 del 5 febbraio 2020</w:t>
      </w:r>
    </w:p>
    <w:p>
      <w:pPr>
        <w:pStyle w:val="Heading2"/>
      </w:pPr>
      <w:r>
        <w:t>Erwägungen</w:t>
      </w:r>
    </w:p>
    <w:p>
      <w:r>
        <w:rPr>
          <w:b/>
        </w:rPr>
        <w:t>E. 2</w:t>
      </w:r>
    </w:p>
    <w:p>
      <w:r>
        <w:t>Neue Tatsachen und Beweismittel (Noven) können im Berufungsverfahren grundsätzlich nur unter den Voraussetzungen von Art. 317 Abs. 1 ZPO berück-</w:t>
      </w:r>
    </w:p>
    <w:p>
      <w:r>
        <w:t>- 8 - sichtigt werden, das heisst, wenn sie ohne Verzug vorgebracht werden (lit. a) und trotz zumutbarer Sorgfalt nicht schon vor erster Instanz vorgebracht werden konn- ten (lit. b). Im Bereich des vorliegend anwendbaren strengen Untersuchungs- grundsatzes gemäss Art. 296 ZPO (betreffend sämtliche Kinderbelange) können die Parteien im Berufungsverfahren jedoch auch dann Noven vorbringen, wenn die Voraussetzungen von Art. 317 Abs. 1 ZPO nicht erfüllt sind (BGE 144 III 349 E. 4.2.1). Demnach sind insbesondere der von der Beklagten im Berufungsverfah- ren neu eingereichte Rahmenvertrag für Hypotheken vom 24. September 2015 (Urk. 56/4) sowie der Vertrag über die Verpfändung von Vorsorgeguthaben und Ansprüchen aus Versicherungen zwischen der Beklagten und der D._____ [Bank] vom 30. August 2013 (Urk. 67/2) zu berücksichtigen.</w:t>
      </w:r>
    </w:p>
    <w:p>
      <w:r>
        <w:rPr>
          <w:b/>
        </w:rPr>
        <w:t>E. 2.1</w:t>
      </w:r>
    </w:p>
    <w:p>
      <w:r>
        <w:t>Die zweitinstanzliche Entscheidgebühr ist in Anwendung von § 5 Abs. 1, § 6 Abs. 1 und 2 lit. b i.V.m. § 12 Abs. 1 und 2 der Gebührenverordnung des Oberge- richts (GebV OG) auf Fr. 3'000.– festzusetzen. Sie ist ausgangsgemäss dem Klä- ger aufzuerlegen (Art. 106 Abs. 1 ZPO).</w:t>
      </w:r>
    </w:p>
    <w:p>
      <w:r>
        <w:rPr>
          <w:b/>
        </w:rPr>
        <w:t>E. 2.2</w:t>
      </w:r>
    </w:p>
    <w:p>
      <w:r>
        <w:t>Als im Berufungsverfahren obsiegende Partei hat die Beklagte grundsätzlich Anspruch auf eine Parteientschädigung (Art. 106 Abs. 1 ZPO). Die Aufwendungen von Rechtsanwalt X2._____ im Zusammenhang mit der Berufungsschrift (Urk. 52) sowie der Stellungnahme vom 23. Dezember 2019 (Urk. 65) sind angesichts sei- ner fehlenden kantonalen Auftretensberechtigung nicht zu berücksichtigen (vgl. Urk. 73). Rechtsanwältin MLaw X1._____, welche die Beklagte neu vertritt (Urk. 75), hatte einzig die Genehmigung bzw. die Verweigerung der Genehmigung die- ser Rechtsschriften zu prüfen, weshalb die Gebühr i.S.v. § 5 Abs. 1, § 6 Abs. 1 und 3 i.V.m § 13 Abs. 1 und 2 AnwGebV nicht erstanden ist (vgl. § 11 Abs. 1 und 2 AnwGebV). Angesichts des Umstandes, dass Rechtsanwältin MLaw X1._____ die Beklagte bereits vor Vorinstanz vertrat und daher mit dem Prozessstoff ver- traut war, rechtfertigt sich für die damit in Zusammenhang stehenden Aufwendun- gen die Festsetzung einer pauschalen Entschädigung von Fr. 600.– (vgl. § 12 Abs. 2 AnwGebV).</w:t>
      </w:r>
    </w:p>
    <w:p>
      <w:r>
        <w:t>- 18 - Es wird beschlossen: 1. Es wird vorgemerkt, dass die Dispositiv-Ziffern 1-2 des Urteils des Einzelge- richts im summarischen Verfahren am Bezirksgericht Pfäffikon vom 10. Sep- tember 2019 in Rechtskraft erwachsen sind. 2. Schriftliche Mitteilung mit nachfolgendem Erkenntnis. Es wird erkannt: 1. Das Begehren des Klägers um Abänderung der Dispositiv-Ziffern 5, 1. Ab- satz, und 6 des Urteils des Einzelgerichts im summarischen Verfahren am Bezirksgericht Winterthur vom 9. Januar 2019 wird abgewiesen. 2. Die Gerichtskosten für das erstinstanzliche Verfahren werden auf Fr. 2'400.– festgesetzt. 3. Die Gerichtskosten für das erstinstanzliche Verfahren werden dem Kläger im Umfang von 4/5 und der Beklagten im Umfang von 1/5 auferlegt.</w:t>
      </w:r>
    </w:p>
    <w:p>
      <w:r>
        <w:rPr>
          <w:b/>
        </w:rPr>
        <w:t>E. 3</w:t>
      </w:r>
    </w:p>
    <w:p>
      <w:r>
        <w:t>Der Kläger begründete sein Abänderungsbegehren vor Vorinstanz mit der Reduktion der Wohnkosten der Beklagten und der Tochter C._____ infolge deren Umzugs in die vormals eheliche Liegenschaft in E._____ (Urk. 1 S. 2 f.; Urk. 22 S. 1 f.).</w:t>
      </w:r>
    </w:p>
    <w:p>
      <w:r>
        <w:rPr>
          <w:b/>
        </w:rPr>
        <w:t>E. 4</w:t>
      </w:r>
    </w:p>
    <w:p>
      <w:r>
        <w:t>Der Kläger wird verpflichtet, der Beklagten für das erstinstanzliche Verfahren eine reduzierte Parteientschädigung von Fr. 2'400.– zu bezahlen.</w:t>
      </w:r>
    </w:p>
    <w:p>
      <w:r>
        <w:rPr>
          <w:b/>
        </w:rPr>
        <w:t>E. 5</w:t>
      </w:r>
    </w:p>
    <w:p>
      <w:r>
        <w:t>Die zweitinstanzliche Entscheidgebühr wird auf Fr. 3'000.– festgesetzt.</w:t>
      </w:r>
    </w:p>
    <w:p>
      <w:r>
        <w:rPr>
          <w:b/>
        </w:rPr>
        <w:t>E. 6</w:t>
      </w:r>
    </w:p>
    <w:p>
      <w:r>
        <w:t>Die Gerichtskosten für das zweitinstanzliche Verfahren werden dem Kläger auferlegt und mit dem von der Beklagten geleisteten Kostenvorschuss ver- rechnet. Der Kläger wird verpflichtet, der Beklagten den geleisteten Vor- schuss von Fr. 3'000.– zu ersetzen.</w:t>
      </w:r>
    </w:p>
    <w:p>
      <w:r>
        <w:rPr>
          <w:b/>
        </w:rPr>
        <w:t>E. 7</w:t>
      </w:r>
    </w:p>
    <w:p>
      <w:r>
        <w:t>Der Kläger wird verpflichtet, der Beklagten für das zweitinstanzliche Verfah- ren eine Parteientschädigung von Fr. 600.– zu bezahlen.</w:t>
      </w:r>
    </w:p>
    <w:p>
      <w:r>
        <w:rPr>
          <w:b/>
        </w:rPr>
        <w:t>E. 8</w:t>
      </w:r>
    </w:p>
    <w:p>
      <w:r>
        <w:t>Schriftliche Mitteilung an − den Kläger, unter Beilage des Doppels von Urk. 75, − die Beklagte, − die Vorinstanz,</w:t>
      </w:r>
    </w:p>
    <w:p>
      <w:r>
        <w:t>- 19 -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und ein Entscheid über vorsorgliche Massnahmen im Sinne von Art. 90 und 98 BGG. Es handelt sich um eine vermögensrechtliche Angelegenheit. Der Streitwert übersteigt Fr. 30'000.–. Die Beschwerde an das Bundesgericht hat keine aufschiebende Wirkung. Hinsichtlich des Fristenlaufs gelten die Art. 44 ff. BGG. Zürich, 5. Februar 2020 Obergericht des Kantons Zürich I. Zivilkammer Die Gerichtsschreiberin: lic. iur. N.A. Gerber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