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LE190015 vom 4. Juni 2019</w:t>
      </w:r>
    </w:p>
    <w:p>
      <w:r>
        <w:t>ZH Obergericht, 2019-06-04, DE</w:t>
      </w:r>
    </w:p>
    <w:p>
      <w:r>
        <w:rPr>
          <w:b/>
        </w:rPr>
        <w:t xml:space="preserve">Quelle: </w:t>
      </w:r>
      <w:r>
        <w:t>https://mcp.opencaselaw.ch/entscheid/zh_obergericht_LE190015</w:t>
      </w:r>
    </w:p>
    <w:p>
      <w:r>
        <w:t>FR: ZH_OBERGERICHT LE190015 du 4 juin 2019</w:t>
      </w:r>
    </w:p>
    <w:p>
      <w:r>
        <w:t>IT: ZH_OBERGERICHT LE190015 del 4 giugno 2019</w:t>
      </w:r>
    </w:p>
    <w:p>
      <w:pPr>
        <w:pStyle w:val="Heading2"/>
      </w:pPr>
      <w:r>
        <w:t>Erwägungen</w:t>
      </w:r>
    </w:p>
    <w:p>
      <w:r>
        <w:rPr>
          <w:b/>
        </w:rPr>
        <w:t>E. 1</w:t>
      </w:r>
    </w:p>
    <w:p>
      <w:r>
        <w:t>Die Parteien sind verheiratet. Aus ihrer Ehe ging der gemeinsame Sohn C._____, geboren am tt.mm.2010, hervor. Mit Urteil und Verfügung des Einzelge- richts am Bezirksgericht Andelfingen vom 2. Oktober 2015 wurde das Getrenntle- ben der Parteien geregelt und die Vereinbarung der Parteien vom 30. September 2015 genehmigt und vorgemerkt. Dabei wurde der Sohn C._____ unter die Obhut der Beklagten und Berufungsklägerin (fortan Beklagte) gestellt und dem Kläger und Berufungsbeklagten (fortan Kläger) ein ausgedehntes Besuchsrecht einge- räumt (Urk. 2/4/2). Mit Urteil des Einzelgerichts im summarischen Verfahren am Bezirksgericht Andelfingen vom 19. August 2016 wurde das Abänderungsbegeh- ren des Klägers betreffend das vorgenannte Eheschutzurteil in Bezug auf seinen Antrag auf Umteilung der Obhut für C._____ abgewiesen und die Betreuungsre- gelung angepasst. Zudem wurde der Beklagten das alleinige Entscheidungsrecht betreffend die Kindergarten-/Schulanmeldung des Kindes eingeräumt und die el- terliche Sorge des Klägers demgemäss eingeschränkt (Urk. 2/4/3). Am 7. No- vember 2016 machte der Kläger vor Vorinstanz erneut ein Abänderungsverfahren anhängig (Urk. 2/7/1). Im Rahmen dessen ersuchte er mit Eingabe vom 30. Juni 2017 um Erlass vorsorglicher Massnahmen und stellte folgende Anträge (Urk. 2/7/25): "1. Es sei der Gesuchsgegnerin unter Strafandrohung von Art. 292 StGB zu verbieten, den Aufenthaltswechsel von C._____, geb. tt.mm.2010, von D._____ nach Zürich vorzunehmen und die Ge- meinde D._____ und Zürich seien anzuweisen, keine Abmeldung bzw. Anmeldung von C._____ zuzulassen.</w:t>
      </w:r>
    </w:p>
    <w:p>
      <w:r>
        <w:rPr>
          <w:b/>
        </w:rPr>
        <w:t>E. 2</w:t>
      </w:r>
    </w:p>
    <w:p>
      <w:r>
        <w:t>Es sei der Gesuchsgegnerin unter Strafandrohung von Art. 292 StGB zu verbieten, den Kindergarten- bzw. Schulortwechsel von D._____ nach Zürich vorzunehmen und die Schulgemeinde D._____ und Zürich seien anzuweisen, keine Abmeldung bzw. Anmeldung von C._____ zuzulassen.</w:t>
      </w:r>
    </w:p>
    <w:p>
      <w:r>
        <w:rPr>
          <w:b/>
        </w:rPr>
        <w:t>E. 2.1</w:t>
      </w:r>
    </w:p>
    <w:p>
      <w:r>
        <w:t>Die Entscheidgebühr für das Berufungsverfahren ist in Anwendung von § 5 Abs. 1, § 6 Abs. 2 lit. b, § 10 Abs. 1 und § 12 Abs. 1 und 2 der GebV OG auf Fr. 2'800.– festzusetzen.</w:t>
      </w:r>
    </w:p>
    <w:p>
      <w:r>
        <w:rPr>
          <w:b/>
        </w:rPr>
        <w:t>E. 2.2</w:t>
      </w:r>
    </w:p>
    <w:p>
      <w:r>
        <w:t>Vereinbarungsgemäss sind die Kosten des Berufungsverfahrens den Partei- en je zur Hälfte aufzuerlegen und die Parteientschädigungen wettzuschlagen (Art. 109 Abs. 1 ZPO; Urk. 12). Es wird erkannt: 1. Die Dispositiv-Ziffern 1-6 der Verfügung des Einzelgerichts im summari- schen Verfahren am Bezirksgericht Andelfingen vom 14. August 2017 wer- den aufgehoben. 2. In Abänderung von Dispositiv-Ziffer 3 des Eheschutzurteils vom 2. Oktober 2015 wird das Kind C._____ für die Dauer des Verfahrens betreffend Abän- derung Eheschutz unter die alternierende Obhut der Parteien gestellt. C._____ hat seinen zivilrechtlichen Wohnsitz beim Kläger, wo er auch ein- geschult zu belassen ist.</w:t>
      </w:r>
    </w:p>
    <w:p>
      <w:r>
        <w:t>- 14 - 3. Die Dispositiv-Ziffern 3 und 4 des Urteils des Bezirksgerichts Andelfingen vom 19. August 2016 werden ersatzlos aufgehoben. 4. Die Vereinbarung der Parteien vom 28. Mai 2019 wird genehmigt. Die Ver- einbarung lautet wie folgt: "Präambel: Die Parteien schliessen die vorliegende Vereinbarung im Rahmen einer Ge- samtlösung, welche auch das erstinstanzliche Verfahren betreffend Abände- rung Eheschutz EE160025 am Bezirksgericht Andelfingen vollständig erle- digt. Die Vereinbarung betreffend Erledigung des erstinstanzlichen Verfah- rens wird von den Parteien gleichzeitig mit der vorliegenden Vereinbarung unterzeichnet. 1. Die Parteien beantragen übereinstimmend betreffend die Kinderbelan- ge, es seien die Dispositiv-Ziffern 1-5 des Urteils des Einzelgerichts im summarischen Verfahren am Bezirksgericht Andelfingen vom 14. Au- gust 2017 durch folgende Fassung zu ersetzen: 1. In Abänderung von Dispositiv-Ziffer 3 des Eheschutzurteils vom 2. Oktober 2015 sei C._____ für die Dauer des Verfahrens betref- fend Abänderung Eheschutz unter die alternierende Obhut der Parteien zu stellen. C._____ hat seinen zivilrechtlichen Wohnsitz beim Kläger, wo er auch eingeschult zu belassen ist. 2. a) In Abänderung von Dispositiv-Ziffer 5 des Eheschutzurteils vom 19. August 2016 vereinbaren die Parteien für die Dauer des Verfahrens betreffend Abänderung Eheschutz folgende Betreuungsregelung: Die Beklagte betreut C._____ auf eigene Kosten jedes Wo- chenende von Freitag nach Schulschluss (derzeit 12:00 Uhr) bis Sonntag 20:00 Uhr.</w:t>
      </w:r>
    </w:p>
    <w:p>
      <w:r>
        <w:t>- 15 - In der übrigen Zeit betreut der Kläger C._____ auf eigene Kosten. Der Kläger ist verpflichtet, C._____ jeweils am Freitag direkt nach Schulschluss an die Wohnadresse der Beklagten zu bringen. Die Beklagte ist verpflichtet, C._____ jeweils am Sonntagabend an die Wohnadresse des Klägers zu bringen. b) Beide Parteien sind berechtigt, mit C._____ pro Kalender- jahr je fünf Wochen Ferien während den Schulferien zu ver- bringen. Die Ferien des Klägers mit C._____ haben so zu erfolgen, dass maximal zwei aufeinanderfolgende Betreuungswo- chenenden der Beklagten ausfallen. Die Parteien verpflichten sich, ihre geplanten Ferien jeweils mindestens zwei Monate im Voraus mit dem anderen Eltern- teil abzusprechen. Können sie sich über die Ferienplanung nicht einigen, so kommt dem Kläger in Jahren mit gerader Jahreszahl das Entscheidungsrecht bezüglich der Aufteilung der Ferien zu; in Jahren mit ungerader Jahreszahl der Beklagten. c) Bezüglich der Feiertagsregelung vereinbaren die Parteien folgendes: Der Kläger betreut C._____ in ungeraden Jahren jeweils am zweiten Tag der Doppelfeiertage Weihnachten und Neujahr und die Beklagte jeweils am ersten Tag dieser Doppelfeier- tage. In geraden Jahren gilt die umgekehrte Regelung. Der Kläger betreut C._____ in den ungeraden Jahren über die ganzen Osterfeiertage, von Karfreitag bis Ostermontag. In den geraden Jahren betreut die Beklagte C._____ über</w:t>
      </w:r>
    </w:p>
    <w:p>
      <w:r>
        <w:t>- 16 - die ganzen Osterfeiertage, von Karfreitag (12:00 Uhr) bis Ostermontag (20:00 Uhr). Der Kläger betreut C._____ in geraden Jahren über die gan- zen Pfingstfeiertage, von Pfingstsamstag (18:00 Uhr), bis Pfingstmontag. In den ungeraden Jahren betreut die Beklag- te C._____ über die ganzen Pfingstfeiertage, von Freitag vor Pfingsten nach Schulschluss, bis Pfingstmontag (20:00 Uhr). 3. Die Dispositiv-Ziffer 3 der Verfügung vom 14. August 2017 sei er- satzlos zu streichen. 4. Die Dispositiv-Ziffer 4 der Verfügung vom 14. August 2017 sei er- satzlos zu streichen. 5. Die Dispositiv-Ziffern 3 und 4 des Urteils des Bezirksgerichts An- delfingen vom 19. August 2016 seien ersatzlos aufzuheben. 2. Die Parteien ziehen sämtliche darüberhinausgehende bzw. anders lau- tende Anträge zurück. 3. Die Parteien übernehmen die im erstinstanzlichen Verfahren für die vorsorglichen Massnahmen angefallenen Kosten sowie auch die Kos- ten für das zweitinstanzliche Verfahren je zur Hälfte und verzichten ge- genseitig auf eine Parteientschädigung." 5. Die zweitinstanzliche Entscheidgebühr wird auf Fr. 2'800.– festgesetzt.</w:t>
      </w:r>
    </w:p>
    <w:p>
      <w:r>
        <w:rPr>
          <w:b/>
        </w:rPr>
        <w:t>E. 2.3</w:t>
      </w:r>
    </w:p>
    <w:p>
      <w:r>
        <w:t>An der Erziehungsfähigkeit beider Parteien bestehen grundsätzlich keine Zweifel. Beide Parteien haben sodann in zeitlicher Hinsicht die Möglichkeit, C._____ im Rahmen der getroffenen Betreuungsregelung persönlich zu betreuen. Der Kläger arbeitet derzeit von zuhause aus, die Beklagte ist in einem Teilzeit- pensum erwerbstätig. Zwar ist die Distanz zwischen den beiden Wohnorten der Parteien mit rund 54 Kilometern nicht unerheblich, beide Parteien verfügen jedoch über die nötige zeitliche Flexibilität, um den Transport bzw. die Übergaben von</w:t>
      </w:r>
    </w:p>
    <w:p>
      <w:r>
        <w:t>- 12 - C._____ zu bewerkstelligen. Dass C._____ von beiden Parteien in ähnlichem Umfang betreut wird, steht nicht nur im Einklang mit den Betreuungsregelungen, welche mit Urteil der Vorinstanz vom 2. Oktober 2015 (vgl. Urk. 2/4/2, Dispositiv- Ziffer 4) sowie vom 19. August 2016 (vgl. Urk. 2/4/3, Dispositiv-Ziffer 5) festgelegt wurden, sondern entspricht auch dem von C._____ anlässlich der Kinderanhö- rung vom 8. Mai 2019 ausdrücklich geäusserten Wunsch. So führte C._____ an- lässlich der Kinderanhörung aus, er würde am Liebsten drei Tage bei seiner Mut- ter und vier Tage bei seinem Vater oder umgekehrt, also drei Tage bei seinem Vater und vier Tage bei seiner Mutter wohnen. Als seine Mutter noch in D._____ gewohnt habe, sei er je hälftig bei seinem Vater und bei seiner Mutter gewesen, was ihm gut gefallen habe (vgl. Prot. II S. 6). Auch wenn die Verhältnisse teilwei- se hochstrittig wirken, erweckten die Parteien an der Vergleichsverhandlung vom 28. Mai 2019 den Eindruck, zumindest in Bezug auf die Ausübung der alternie- renden Obhut zugunsten des Sohnes C._____ einen Konsens finden zu können. Schliesslich zeugt auch der Abschluss der vorliegenden Vereinbarung (Urk. 12) von der grundsätzlichen Bereitschaft und Fähigkeit der Parteien in Kinderbelan- gen – wo nötig – zumindest ein Minimum an Verständigung zu erreichen. Im Übri- gen erweist sich die detaillierte Betreuungsregelung, insbesondere auch in Bezug auf die Ferien und die Feiertage, als geeignet, um dem Konfliktpotential durch kla- re Regeln zu begegnen. Dass C._____ seinen zivilrechtlichen Wohnsitz beim Kläger hat und dort eingeschult zu belassen ist, erscheint angesichts dessen, dass er bereits seit Sommer 2017 (vgl. Urk. 2/2, Dispositiv-Ziffer 1; Urk. 2/5, Dis- positiv-Ziffer 1), mithin seit bald zwei Jahren, in E._____ die Primarschule be- sucht, mit Blick auf die Stabilität und Kontinuität der Verhältnisse als angemessen. Nach dem Gesagten kann die Vereinbarung der Parteien betreffend Obhut und Betreuungsregelung genehmigt werden. 3. Die Vorinstanz hat im Rahmen des Urteils vom 19. August 2016 gestützt auf Art. 315a ZGB i.V.m. Art. 307 ff. ZGB das alleinige Entscheidungsrecht betreffend die Kindergarten- bzw. Schulanmeldung für den Sohn C._____ der Beklagten eingeräumt und dem Kläger die elterliche Sorge entsprechend eingeschränkt (Urk. 2/4/3, Dispositiv-Ziffern 3-4). Hintergrund dieser Anordnung war die durch den anhaltenden Konflikt der Parteien errichtete Blockade in Sachen Kindergar-</w:t>
      </w:r>
    </w:p>
    <w:p>
      <w:r>
        <w:t>- 13 - ten- bzw. Schulort von C._____ (Urk. 2/4/3 E. II.B.2). Nachdem die Parteien sich nunmehr auf eine Beschulung C._____s in der Primarschule E._____ geeinigt haben (vgl. Urk. 12 Ziffer 1.1), erscheint die von den Parteien im Rahmen ihrer Vereinbarung vom 28. Mai 2019 beantragte ersatzlose Aufhebung der Dispositiv- Ziffern 3 und 4 des Urteils des Bezirksgerichtes Andelfingen vom 19. August 2016 (Urk. 12 Ziffer 1.5) angezeigt und ist vorzunehmen. III. 1. Die Vorinstanz hat in Anwendung von Art. 104 Abs. 3 ZPO den Entscheid über die Kosten- und Entschädigungsfolgen ausdrücklich dem Endentscheid vor- behalten (Urk. 2/2, Dispositiv-Ziffer 7); diesbezüglich sind keine weiteren Vorkeh- ren zu treffen.</w:t>
      </w:r>
    </w:p>
    <w:p>
      <w:r>
        <w:rPr>
          <w:b/>
        </w:rPr>
        <w:t>E. 3</w:t>
      </w:r>
    </w:p>
    <w:p>
      <w:r>
        <w:t>Für den Eventualfall, dass die Kindsmutter ihren Wohnsitz nach Zürich verlegen sollte, sei das gemeinsame Kind C._____, geb. tt.mm.2010, unter die elterliche Obhut des Vaters zu stellen und festzuhalten, dass sich der Wohnsitz von C._____ insbeson-</w:t>
      </w:r>
    </w:p>
    <w:p>
      <w:r>
        <w:t>- 6 - dere für schulische Belange, beim Vater befindet und dort neu begründet wird. Sodann sei C._____ in D._____ eingeschult zu lassen. Überdies sei der Mutter ein angemessenes Besuchs- bzw. Feri- enbesuchsrecht zuzusprechen.</w:t>
      </w:r>
    </w:p>
    <w:p>
      <w:r>
        <w:rPr>
          <w:b/>
        </w:rPr>
        <w:t>E. 4</w:t>
      </w:r>
    </w:p>
    <w:p>
      <w:r>
        <w:t>Subeventualiter, falls die Kindsmutter ihren Wohnsitz nach Zürich verlegen sollte, sei festzuhalten, dass das gemeinsame Kind C._____, geb. tt.mm.2010, unter der alternierenden elterlichen Obhut steht, sich der Wohnsitz von C._____, insbesondere für schulische Belange, jedoch beim Vater befindet und dort neu be- gründet wird. Sodann sei C._____ in D._____ eingeschult zu lassen. Überdies sei festzustellen, dass die Mutter den Sohn C._____ wie folgt betreut: - jede Woche von Samstagabend (evtl. auch Freitag nach Schulschluss) bis Montag nach Schulschluss, - sowie während der Hälfte der Schulferienwochen, wobei die Aufteilung der Ferien zwischen den Parteien frühzeitig abzu- sprechen ist. Die übrige Zeit wird C._____ vom Vater betreut. Für die Transporte des Kindes nach Zürich ist der Vater, für die Transporte des Kindes von Zürich die Mutter verantwortlich, wo- bei dies auch für die Schulwege gilt. Kann eine Partei das Kind an ihrem Betreuungstag nicht selber betreuen, so sei sie zu verpflichten, auf eigene Kosten eine an- gemessene Drittbetreuung zu besorgen.</w:t>
      </w:r>
    </w:p>
    <w:p>
      <w:r>
        <w:rPr>
          <w:b/>
        </w:rPr>
        <w:t>E. 5</w:t>
      </w:r>
    </w:p>
    <w:p>
      <w:r>
        <w:t>Die mit Urteil und Verfügung des Bezirksgerichts Andelfingen vom 19. August 2016, Disp. Ziff. 3 und 4, erlassenen Einschränkung der elterlichen Sorge des Gesuchstellers in Bezug betreffend Kin- dergarten- und Schulanmeldung von C._____ sowie die Zuteilung des alleinigen Entscheidungsrechts diesbezüglich an die Ge- suchsgegnerin seien aufzuheben. Alles unter Kosten- und Entschädigungsfolgen (zzgl. 8 % MwSt.) zulas- ten der Gesuchgegnerin. Über die Anträge Ziff. 1-2 des Rechtsbegehrens sei im Sinne einer su- perprovisorischen Massnahme gemäss Art. 265 ZPO zu entscheiden und eine sofortige Unterlassung des Wohnsitzwechsels wie Schulan- meldung von C._____ und ohne Anhörung der Gesuchsgegnerin an- zuordnen." In der Folge wurde das Gesuch des Klägers um superprovisorische Anordnung vorsorglicher Massnahmen mit Verfügung vom 6. Juli 2017 abgewiesen</w:t>
      </w:r>
    </w:p>
    <w:p>
      <w:r>
        <w:t>- 7 - (Urk. 2/7/33). Bezüglich des weiteren Verlaufs des vorinstanzlichen Verfahrens kann im Übrigen auf die Erwägungen der Vorinstanz verwiesen werden (Urk. 2/2 E. I = Urk. 2/7/49 E. I). Am 14. August 2017 fällte die Vorinstanz den eingangs wiedergegebenen Entscheid (Urk. 2/2). 2. Hiergegen erhob die Beklagte mit Eingaben vom 18. August 2017 bzw. 25. August 2017 (Urk. 2/1; Urk. 2/8) innert Frist Berufung. Über den Gang des Be- rufungsverfahrens gibt der Beschluss der Kammer vom 6. April 2018 Auskunft (Urk. 2/48 E. 1.2). Hervorzuheben bleibt einzig der Beschluss der erkennenden Kammer vom 13. Februar 2018 mit welchem die jeweiligen Gesuche der Parteien um Leistung eines Prozesskostenbeitrages bzw. um Gewährung der unentgeltli- chen Rechtspflege für das Berufungsverfahren abgewiesen wurden (Urk. 2/42). Die erkennende Kammer erledigte das Berufungsverfahren unter dem Datum vom</w:t>
      </w:r>
    </w:p>
    <w:p>
      <w:r>
        <w:rPr>
          <w:b/>
        </w:rPr>
        <w:t>E. 6</w:t>
      </w:r>
    </w:p>
    <w:p>
      <w:r>
        <w:t>Die Gerichtskosten des Berufungsverfahrens werden den Parteien je zur Hälfte auferlegt.</w:t>
      </w:r>
    </w:p>
    <w:p>
      <w:r>
        <w:rPr>
          <w:b/>
        </w:rPr>
        <w:t>E. 7</w:t>
      </w:r>
    </w:p>
    <w:p>
      <w:r>
        <w:t>Für das Berufungsverfahren werden keine Parteientschädigungen zugespro- chen.</w:t>
      </w:r>
    </w:p>
    <w:p>
      <w:r>
        <w:rPr>
          <w:b/>
        </w:rPr>
        <w:t>E. 8</w:t>
      </w:r>
    </w:p>
    <w:p>
      <w:r>
        <w:t>Schriftliche Mitteilung an − die Parteien, − die Vorinstanz,</w:t>
      </w:r>
    </w:p>
    <w:p>
      <w:r>
        <w:t>- 17 - je gegen Empfangsschein. Nach unbenutztem Ablauf der Rechtsmittelfrist gehen die erstinstanzlichen Akten an die Vorinstanz zurück.</w:t>
      </w:r>
    </w:p>
    <w:p>
      <w:r>
        <w:rPr>
          <w:b/>
        </w:rPr>
        <w:t>E. 9</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Entscheid über vorsorgliche Massnahmen im Sinne von Art. 98 BGG. Es handelt sich um eine nicht vermögensrechtliche Angelegenheit. Die Beschwerde an das Bundesgericht hat keine aufschiebende Wirkung. Hinsichtlich des Fristenlaufs gelten die Art. 44 ff. BGG. Zürich, 4. Juni 2019 Obergericht des Kantons Zürich I. Zivilkammer Die Gerichtsschreiberin: lic. iur. N.A. Gerber versandt am: sf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