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LE180067 vom 11. Juni 2019</w:t>
      </w:r>
    </w:p>
    <w:p>
      <w:r>
        <w:t>ZH Obergericht, 2019-06-11, DE</w:t>
      </w:r>
    </w:p>
    <w:p>
      <w:r>
        <w:rPr>
          <w:b/>
        </w:rPr>
        <w:t xml:space="preserve">Quelle: </w:t>
      </w:r>
      <w:r>
        <w:t>https://mcp.opencaselaw.ch/entscheid/zh_obergericht_LE180067</w:t>
      </w:r>
    </w:p>
    <w:p>
      <w:r>
        <w:t>FR: ZH_OBERGERICHT LE180067 du 11 juin 2019</w:t>
      </w:r>
    </w:p>
    <w:p>
      <w:r>
        <w:t>IT: ZH_OBERGERICHT LE180067 del 11 giugno 2019</w:t>
      </w:r>
    </w:p>
    <w:p>
      <w:pPr>
        <w:pStyle w:val="Heading2"/>
      </w:pPr>
      <w:r>
        <w:t>Erwägungen</w:t>
      </w:r>
    </w:p>
    <w:p>
      <w:r>
        <w:rPr>
          <w:b/>
        </w:rPr>
        <w:t>E. 1</w:t>
      </w:r>
    </w:p>
    <w:p>
      <w:r>
        <w:t>Die Parteien sind verheiratet. Sie haben eine gemeinsame Tochter, C._____, geboren am tt.mm.2016. Mit Eingabe vom 4. September 2017 hat die Gesuchstellerin und Berufungsklägerin (fortan Gesuchstellerin) vor Vorinstanz ein</w:t>
      </w:r>
    </w:p>
    <w:p>
      <w:r>
        <w:t>- 7 - Eheschutzverfahren anhängig gemacht. Anlässlich der Hauptverhandlung vom 10. November 2017 schlossen die Parteien eine "Teilvereinbarung Eheschutzver- fahren" betreffend die Aufhebung des gemeinsamen Haushaltes, die elterliche Sorge, die Obhut, den Kinder- und Ehegattenunterhalt, die eheliche Wohnung sowie das Mobiliar und den Hausrat. Weiter vereinbarten sie Schutzmassnahmen nach Art. 28b ZGB für die Gesuchstellerin und C._____ (Urk. 9/27). Nicht einigen konnten sich die Parteien bezüglich des Besuchsrechts des Gesuchsgegners und Berufungsbeklagten (fortan Gesuchsgegner). Die Schutzmassnahmen für C._____ sollten nur so lange Geltung haben, als sie nicht durch eine weitere Ver- einbarung oder einen Entscheid des Gerichts betreffend Besuchsrecht und Schutzmassnahmen aufgehoben würden (Urk. 9/27 S. 6, Ziffer 8 Abs. 3). Mit Teil- urteil vom 10. November 2017 wurde den Parteien das Getrenntleben auf unbe- stimmte Zeit bewilligt (Urk. 9/28 S. 6, Dispositivziffer 1) und die Vereinbarung vor- gemerkt und soweit notwendig genehmigt (Dispositivziffer 2). Es wurden mit Be- zug auf die Gesuchstellerin und C._____ Schutzmassnahmen erlassen (Disposi- tivziffer 3 und 4), wobei festgehalten wurde, dass das Kontakt- und Annäherungs- verbot gegenüber C._____ einstweilen, d.h. bis zu einer anderslautenden Verein- barung bzw. einem gerichtlichen Entscheid gelte (Dispositivziffer 5). Betreffend den weiteren Verlauf des vorinstanzlichen Verfahrens kann auf die Ausführungen im angefochtenen Entscheid verwiesen werden (Urk. 2 S. 10 f.). Mit "2. Teil-Urteil" vom 6. Dezember 2018 wurde dem Gesuchsgegner ein begleitetes Besuchsrecht von einer Stunde alle 14 Tage in einem anerkannten Besuchstreff unter gleichzei- tiger therapeutischer Vor- und Nachbegleitung der Gesuchstellerin und der Toch- ter C._____ eingeräumt (Urk. 2 S. 29, Dispositivziffer 1). Es wurde für C._____ eine Beistandschaft im Sinne von Art. 308 Abs. 2 ZGB errichtet und die Aufgaben des Beistandes im Detail geregelt (Urk. 2 S. 29, Dispositivziffer 2). Weiter wurde das Kontakt- und Annäherungsverbot des Gesuchsgegners gegenüber C._____ neu geregelt, indem die 14-täglichen Kontakte von einer Stunde vom Verbot aus- genommen wurden (Urk. 2 S. 29 f., Dispositivziffer 3). 2.1. Die Gesuchstellerin hat gegen das 2. Teilurteil fristgerecht Berufung er- hoben (Urk. 1; Urk. 9/63). Sie hat die eingangs erwähnten Anträge gestellt. Mit Verfügung vom 10. Januar 2019 wurde der Berufung der Gesuchstellerin die auf-</w:t>
      </w:r>
    </w:p>
    <w:p>
      <w:r>
        <w:t>- 8 - schiebende Wirkung gewährt (Urk. 10 S. 4, Dispositivziffer 1). Mit Beschluss vom 23. Januar 2019 wurde der Antrag der Gesuchstellerin um Zusprechung eines Prozesskostenvorschusses für das Berufungsverfahren abgewiesen (Urk. 11 S. 4, Dispositivziffer 1) und beiden Parteien die unentgeltliche Rechtspflege bewilligt. Sodann wurde der Gesuchstellerin Rechtsanwältin lic. iur X._____ und dem Ge- suchsgegner Rechtsanwalt lic. iur. Y._____ als unentgeltlicher Rechtsbeistand bestellt (Urk. 11 S. 4, Dispositivziffern 2 und 3). Die Berufungsantwort datiert vom</w:t>
      </w:r>
    </w:p>
    <w:p>
      <w:r>
        <w:rPr>
          <w:b/>
        </w:rPr>
        <w:t>E. 1.1</w:t>
      </w:r>
    </w:p>
    <w:p>
      <w:r>
        <w:t>Umstritten ist das Besuchsrecht. Gemäss Art. 273 Abs. 1 ZGB haben Eltern, denen die elterliche Sorge oder Obhut nicht zusteht, und das minderjähri- ge Kind gegenseitig Anspruch auf angemessenen persönlichen Verkehr. Dabei handelt es sich um ein gegenseitiges Pflichtrecht, das in erster Linie dem Interes- se des Kindes dient. Oberste Richtschnur für die Ausgestaltung des persönlichen Verkehrs ist das Kindeswohl. Entsprechend hat sich das Gericht in erster Linie an den Bedürfnissen des Kindes zu orientieren; die Interessen der Eltern haben hin- ter dem vorrangig massgebenden Kindeswohl zurückzustehen. In diesem Sinn hat auch der persönliche Verkehr zum Zweck, die positive Entwicklung des Kin- des zu gewährleisten und zu fördern. In der Entwicklung des Kindes sind seine Beziehungen zu beiden Elternteilen wichtig, da sie bei seiner Identitätsfindung ei- ne entscheidende Rolle spielen können (BGer 5A_530/2018 vom 20.02.2019, E. 4.1 m.Hinw.). 1.2.1.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dessen ungestörte körperliche, seeli- sche oder sittliche Entfaltung durch ein auch nur begrenztes Zusammensein mit dem nicht obhutsberechtigten Elternteil bedroht ist. Als wichtige Gründe fallen beispielsweise Vernachlässigung, physische Misshandlungen, übermässige psy- chische Belastungen des Kindes (BGer 5A_530/2018 vom 20.02.2019, E. 4.1</w:t>
      </w:r>
    </w:p>
    <w:p>
      <w:r>
        <w:t>- 12 - m.Hinw.) oder die Inhaftierung eines Elternteils wegen einer Straftat gegen das Kind oder den anderen Elternteil in Betracht (BGer 5A_638/2014 vom 03.02.2015, E. 5.1). Sodann kann die Ursache für die Kindeswohlgefährdung in der Über- schreitung des Besuchsrechts durch den Besuchsberechtigten, insbesondere durch Entführung, liegen (BGer 5C.133/2003 vom 10.07.2003, E. 2.2). 1.2.2. Bei einer auf Art. 274 Abs. 2 ZGB gestützten Beschränkung des per- sönlichen Verkehrs ist das Gebot der Verhältnismässigkeit zu beachten. Lassen sich die befürchteten nachteiligen Auswirkungen des persönlichen Verkehrs für das Kind durch die persönliche Anwesenheit einer Drittperson (sog. begleitetes Besuchsrecht) in Grenzen halten, so verbietet sich die Verweigerung des persön- lichen Verkehrs. Der gänzliche Ausschluss eines Elternteils vom persönlichen Verkehr kommt schliesslich nur als ultima ratio in Frage; er ist einzig dann statt- haft, wenn sich die nachteiligen Auswirkungen eines Besuchsrechts nicht ander- weitig in für das Kind vertretbaren Grenzen halten lassen. Ansonsten verbietet das Persönlichkeitsrecht des Elternteils, der Grundsatz der Verhältnismässigkeit sowie Sinn und Zweck des Besuchsrechts dessen gänzliche Unterbindung (BGer 5A_404/2015 vom 27.06.2016, E. 5.2.4 m. Hinw.). In Fällen, in denen es zu häus- licher Gewalt oder zu Gewalt gegen die Kinder gekommen ist, kann hingegen am Vorrang des Erhalts der Beziehung zum nicht sorge- bzw. obhutsberechtigten El- ternteil nicht vorbehaltslos festgehalten werden. Untersuchungen zeigen, dass di- rekt oder indirekt erlebte Gewalt zu einer tief greifenden Bindungsverunsicherung des Kindes führen kann. Das Miterleben von häuslicher Gewalt ist für die be- troffenen Kinder emotional belastend und kann zu sozialen Auffälligkeiten wie Un- ruhe, Ängstlichkeit oder Niedergeschlagenheit führen. Zudem ist die Beziehung des Kindes zum Gewalt ausübenden Elternteil oftmals durch Gefühle wie Angst, Hass oder durch Loyalitätskonflikte belastet. In solchen Fällen ist es von erster Priorität, dass das Kind nach einer Trennung eine stabile Vertrauensbeziehung aufbauen kann; die Aufrechterhaltung aller Bindungen hat zunächst zurückzu- stehen. Ein begleitetes Besuchsrecht kann nach erlebter Gewalt nur unter be- stimmten Voraussetzungen kindeswohlgerecht durchgeführt werden. Das Kind muss den Ort des Besuchskontakts als angstfreien Raum erleben, in dem die Grenzen sicher sind und gewahrt bleiben. Der begleitete Besuchskontakt ist durch</w:t>
      </w:r>
    </w:p>
    <w:p>
      <w:r>
        <w:t>- 13 - qualifiziertes Personal auszuführen und stark interventiv anzulegen (vgl. hierzu FamKomm Scheidung/Büchler, Art. 273 ZGB N 20 m. Hinw.).</w:t>
      </w:r>
    </w:p>
    <w:p>
      <w:r>
        <w:rPr>
          <w:b/>
        </w:rPr>
        <w:t>E. 1.3</w:t>
      </w:r>
    </w:p>
    <w:p>
      <w:r>
        <w:t>Das Eheschutzverfahren ist summarischer Natur und die tatsächlichen Verhältnisse sind lediglich glaubhaft zu machen. 2.1. Die Vorinstanz hielt dafür, nach den Ausführungen der Kindesvertreterin bestehe die zentrale Frage darin, ob das Kleinkind C._____ während des Zu- sammenlebens der Kindseltern massive häusliche Gewalt zwischen den Kindsel- tern miterlebt habe, welche es traumatisiert habe und daher die Gefahr bestehe, dass es alleine aufgrund des Anblicks des Vaters bei einem Wiederaufbau der persönlichen Kontakte zu ihm retraumatisiert werden könnte. Eine Retraumatisie- rung würde die weitere gesunde Entwicklung von C._____ massiv gefährden. Zur Klärung dieser Frage habe die Kindesvertreterin Fachpersonen beigezogen, wel- che das Kind und die Kindsmutter bereits in der Vergangenheit eng begleitet hät- ten. Die Vorinstanz führt die Erläuterungen von Dr. med. H._____ und lic. phil. I._____ von der G._____ zürich (fortan G._____) in ihrem Bericht vom</w:t>
      </w:r>
    </w:p>
    <w:p>
      <w:r>
        <w:rPr>
          <w:b/>
        </w:rPr>
        <w:t>E. 4</w:t>
      </w:r>
    </w:p>
    <w:p>
      <w:r>
        <w:t>Die vorinstanzlichen Akten wurden beigezogen (Urk. 9/1-68). Auf die Aus- führungen der Parteien wird nachfolgend nur soweit für die Entscheidfindung not- wendig eingegangen.</w:t>
      </w:r>
    </w:p>
    <w:p>
      <w:r>
        <w:t>- 10 - II. 1. Die Gesuchstellerin rügt eine Verletzung des rechtlichen Gehörs. Sie ha- be sich weder anlässlich der Fortsetzung der Hauptverhandlung vom 6. Septem- ber 2018 noch im weiteren Verlauf des Verfahrens zum "ersten Parteivortrag" des Rechtsvertreters des Gesuchsgegners und zum "zweiten Vortrag" der Kindesver- treterin äussern können (Urk. 1 S. 12), obwohl ihr die Möglichkeit zu einer Stel- lungnahme in Aussicht gestellt worden sei (Urk. 1 S. 5). Zudem sei sie anlässlich der Verhandlung vom 6. September 2018 nicht befragt worden (Urk. 1 S. 12). 2. Der Anspruch auf rechtliches Gehör ist formeller Natur, womit seine Ver- letzung ungeachtet der materiellen Begründetheit des Rechtsmittels zur Gutheis- sung der Beschwerde und zur Aufhebung des angefochtenen Entscheids führt, wenn eine Heilung in oberer Instanz ausser Betracht fällt. Diese Rechtsprechung des Bundesgerichts darf indes nicht darüber hinwegtäuschen, dass auch die Wahrung des rechtlichen Gehörs keinen Selbstzweck darstellt. Ungeachtet der formellen Natur des Gehörsanspruchs besteht dann kein schützenswertes Inte- resse an der Aufhebung des angefochtenen Entscheids, wenn nicht bestritten ist, dass eine allfällige Verletzung des rechtlichen Gehörs keinen Einfluss auf den Verfahrensausgang gehabt hätte. Andernfalls besteht die Gefahr, dass die Rück- weisung der Sache an die Vorinstanz allein wegen der festgestellten Gehörsver- letzung zu einem Leerlauf und einer unnötigen Verzögerung führt. Für eine erfolg- reiche Rüge der Verweigerung des rechtlichen Gehörs wird deshalb grundsätzlich vorausgesetzt, dass die beschwerdeführende Partei in der Begründung des Rechtsmittels angibt, welche Vorbringen sie bei Gewährung des rechtlichen Ge- hörs in das kantonale Verfahren eingeführt hätte und inwiefern diese hätten er- heblich sein können (vgl. BGer 5A_561/2018 vom 14.12.2018, E. 2.3 m.Hinw.). 3. Die Gesuchstellerin legt weder dar, welche Vorbringen sie mit den Stel- lungnahmen zum "ersten Parteivortrag" des Rechtsvertreters des Gesuchsgeg- ners und zum "zweiten Vortrag" der Kindesvertreterin in das Verfahren hätte ein- bringen wollen, noch zu was sie anlässlich der Fortsetzung zur Hauptverhandlung hätte befragt werden müssen. Sodann fehlen Ausführungen dazu, inwiefern die</w:t>
      </w:r>
    </w:p>
    <w:p>
      <w:r>
        <w:t>- 11 - Vorbringen in der Stellungnahme oder ihre Antworten anlässlich der Befragung für das Verfahren hätten erheblich sein können. Kommt hinzu, dass die Gesuchstel- lerin anlässlich der Hauptverhandlung vom 10. November 2017 zu den Kinderbe- langen befragt wurde (vgl. Prot. Vi S. 14 ff.). Damit verfängt die Rüge von Vornhe- rein nicht. III.</w:t>
      </w:r>
    </w:p>
    <w:p>
      <w:r>
        <w:rPr>
          <w:b/>
        </w:rPr>
        <w:t>E. 4.1</w:t>
      </w:r>
    </w:p>
    <w:p>
      <w:r>
        <w:t>Gemäss Bericht von Dr. H._____, FMH für Kinder und Jugendpsychiat- rie und Psychotherapie, und lic. phil. I._____, Psychotherapeutin ASP/SBAP, vom</w:t>
      </w:r>
    </w:p>
    <w:p>
      <w:r>
        <w:rPr>
          <w:b/>
        </w:rPr>
        <w:t>E. 8</w:t>
      </w:r>
    </w:p>
    <w:p>
      <w:r>
        <w:t>Der gänzliche Ausschluss eines Elternteils vom persönlichen Verkehr kommt, wie bereits erwähnt, nur als ultima ratio in Frage. Er ist einzig dann statt-</w:t>
      </w:r>
    </w:p>
    <w:p>
      <w:r>
        <w:t>- 26 - haft, wenn sich die nachteiligen Auswirkungen eines Besuchsrechts nicht ander- weitig in für das Kind vertretbaren Grenzen halten lassen (vgl. vorne III./E. 1.2.2.). Aus den vorangehenden Ausführungen erhellt, dass sich sowohl das Risiko einer Retraumatisierung von C._____ bei der Anberaumung von Kontakten mit dem Gesuchsgegner als auch einer Dekompensation der Gesuchstellerin durch die therapeutische Begleitung des Kindes und der Kindsmutter kombiniert mit der de- taillierten Regelung der Kompetenzen des Beistandes in einer für das Kindeswohl vertretbaren Grenze halten lassen. Mit dem angeordneten begleiteten Besuchs- recht kann sodann der Gefahr entgegen getreten werden, dass der Gesuchsgeg- ner das Wohl seiner Tochter zu Gunsten seiner egoistischen Begehren (anschau- en von Pornos, Vertuschen eines ausserehelichen Kontaktes, Verlangen nach Geschlechtsverkehr wenige Tage nach Geburt etc.) gefährdet (Urk. 1 S. 7 f.). Die entsprechenden Behauptungen brauchen daher nicht näher abgeklärt zu werden. Sodann könnte dem Gesuchsgegner, selbst wenn er sich, wie von der Gesuch- stellerin geltend gemacht, in der Vergangenheit nicht um C._____ gekümmert hät- te (vgl. Urk. 1 S. 10 f.), das vorliegend vorgesehene Besuchsrecht nicht verwei- gert werden. Eine rechtskräftige Verurteilung des Gesuchsgegners liegt nicht vor. Es steht derzeit nicht fest, wann die erstinstanzliche Hauptverhandlung stattfinden wird. Lediglich gestützt auf die Tatsache, dass der Gesuchsgegner zu einer mehr- jährigen Gefängnisstrafe und einer Landesverweisung verurteilt werden könnte (vgl. Urk. 1 S. 11), kann ihm das Recht darauf, dass nunmehr der Versuch gestar- tet wird, den Kontakt zu C._____ wieder herzustellen, nicht abgesprochen wer- den. Das dem Gesuchsgegner von der Vorinstanz zuerkannte Besuchsrecht er- scheint als angemessen. Die getroffene Regelung folgt den Empfehlungen, wel- che die einschlägige Literatur für die Ausübung eines begleiteten Besuchsrechts bei Kindern, die häusliche Gewalt miterlebt haben, vorsieht (vgl. vorne III./E. 1.2.2). Es wird damit keine "Retraumatisierung aufs Geratewohl" riskiert (vgl. Urk. 1 S. 11). Die Regelung ist vielmehr zu bestätigen.</w:t>
      </w:r>
    </w:p>
    <w:p>
      <w:r>
        <w:rPr>
          <w:b/>
        </w:rPr>
        <w:t>E. 9</w:t>
      </w:r>
    </w:p>
    <w:p>
      <w:r>
        <w:t>Da das von der Vorinstanz festgesetzte Besuchsrecht bestätigt wird, be- steht kein Raum für die Aufhebung der Beistandschaft (Urk. 1 S. 3, Antrag 2; Urk. 2 S. 29, Dispositivziffer 2). Sodann muss die Ausnahme im Kontakt- und An- näherungsverbot (Urk. 1 S. 3, Antrag 1; Urk. 2 S. 29, Dispositivziffer 3) bestehen</w:t>
      </w:r>
    </w:p>
    <w:p>
      <w:r>
        <w:t>- 27 - bleiben. Die Gesuchstellerin hat denn zu diesen beiden Anträgen in der Berufung auch keinerlei Ausführungen gemacht (vgl. Urk. 1).</w:t>
      </w:r>
    </w:p>
    <w:p>
      <w:r>
        <w:rPr>
          <w:b/>
        </w:rPr>
        <w:t>E. 10</w:t>
      </w:r>
    </w:p>
    <w:p>
      <w:r>
        <w:t>Zusammenfassend ist die Berufung der Gesuchstellerin abzuweisen. Die von der Vorinstanz getroffenen Regelungen sind zu bestätigen. III. 1. Die Vorinstanz hat die Entscheidgebühr für das erstinstanzliche Verfahren auf Fr. 4'000.– zuzüglich weitere Auslagen von Fr. 675.– für Dolmetscherkosten, damit total Fr. 4'675.–, festgesetzt. Sodann wurden die weiteren Kosten, insbe- sondere der Prozessbeiständin vorbehalten (vgl. Urk. 2 S. 30, Dispositivziffer 4). Die Kosten wurden den Parteien je zur Hälfte auferlegt, jedoch zufolge Gewäh- rung der unentgeltlichen Rechtspflege, unter Vorbehalt des Nachforderungsrechts im Sinne von Art. 123 ZPO, einstweilen auf die Gerichtskasse genommen (Urk. 2 S. 30, Dispositivziffer 5). Die Parteientschädigungen wurden wettgeschlagen (Urk. 2 S. 30, Dispositivziffer 6). Diese Regelungen blieben unangefochten, wes- halb sie zu bestätigen sind. 2.1. Die Gerichtsgebühr für das Berufungsverfahren ist gestützt auf § 6 Abs. 1 i.V.m. § 5 Abs. 1 und § 6 Abs. 2 lit. b sowie § 12 Abs. 1 und 2 GebV OG auf Fr. 3'000.– festzusetzen. Die Entschädigung für die Vertretung des Kindes gehört zu den Gerichtskosten (Art. 95 Abs. 2 lit. e ZPO) und ist im Entscheiddis- positiv festzusetzen (Kriech, DIKE-ZPO-Komm, Art. 238 N 8). Die Bemessung der Entschädigung ist bundesrechtlich nicht geregelt. Vielmehr setzen die Kantone die Tarife fest (Art. 96 ZPO). Rechtsgrundlage für die Festsetzung der Entschädi- gung für die anwaltliche Kindesvertretung ist im Kanton Zürich die Anwaltsgebüh- renverordnung (§ 1 AnwGebV). Vorliegend erscheint angesichts des notwendigen Zeitaufwands der Kindesvertreterin und der Schwierigkeit des Falls die von ihr geltend gemachte und von den Parteien nicht beanstandete Entschädigung von insgesamt Fr. 518.60 (inkl. MwSt.; vgl. Urk. 30) als angemessen. Die Kosten des</w:t>
      </w:r>
    </w:p>
    <w:p>
      <w:r>
        <w:t>- 28 - Berufungsverfahrens von total Fr. 3'518.60 sind praxisgemäss den Parteien je zur Hälfte aufzuerlegen. Sie werden jedoch zufolge der beiden Parteien gewährten unentgeltlichen Rechtspflege einstweilen auf die Gerichtskasse genommen. Eine Nachforderung im Sinne von Art. 123 ZPO bleibt vorbehalten. 2.2. Für das Berufungsverfahren werden keine Parteientschädigungen zu- 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