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LE180040 vom 26. Juli 2018</w:t>
      </w:r>
    </w:p>
    <w:p>
      <w:r>
        <w:t>ZH Obergericht, 2018-07-26, DE</w:t>
      </w:r>
    </w:p>
    <w:p>
      <w:r>
        <w:rPr>
          <w:b/>
        </w:rPr>
        <w:t xml:space="preserve">Quelle: </w:t>
      </w:r>
      <w:r>
        <w:t>https://mcp.opencaselaw.ch/entscheid/zh_obergericht_LE180040</w:t>
      </w:r>
    </w:p>
    <w:p>
      <w:r>
        <w:t>FR: ZH_OBERGERICHT LE180040 du 26 juillet 2018</w:t>
      </w:r>
    </w:p>
    <w:p>
      <w:r>
        <w:t>IT: ZH_OBERGERICHT LE180040 del 26 luglio 2018</w:t>
      </w:r>
    </w:p>
    <w:p>
      <w:pPr>
        <w:pStyle w:val="Heading2"/>
      </w:pPr>
      <w:r>
        <w:t>Erwägungen</w:t>
      </w:r>
    </w:p>
    <w:p>
      <w:r>
        <w:rPr>
          <w:b/>
        </w:rPr>
        <w:t>E. 23</w:t>
      </w:r>
    </w:p>
    <w:p>
      <w:r>
        <w:t>März 2018 wurden die Parteien auf den 4. Juni 2018 zur Hauptverhandlung vorgeladen (Urk. 2). Anlässlich der Hauptverhandlung stellte der Gesuchsgegner und Berufungskläger (fortan Gesuchsgegner) folgende Anträge (Urk. 8 S. 1 f.): "1. Es sei auf das Eheschutzgesuch der Gesuchstellerin vom 15. März 2018 nicht einzu- treten, unter Kosten- und Entschädigungsfolgen zzgl. MWSt zu Lasten der Gesuch- stellerin. Eventualiter sei das Gesuch unter Kosten- und Entschädigungsfolgen zzgl. MWSt zu Lasten der Gesuchstellerin abzuweisen. 2. Es sei festzustellen, dass die Parteien den gemeinsamen Haushalt am 30. Januar 2016 aufgehoben haben und es sei ihnen das Getrenntleben auf unbestimmte Zeit zu bewilligen. 3. Die Gesuchstellerin sei zu verpflichten, die Liegenschaft C._____-Strasse … in D._____, GB Blatt 1, Kataster Nr. 2, bis 31. Juli 2018 zu verlassen, unter Androhung der Bestrafung nach Art. 292 StGB und der zwangsweisen Räumung des Grundstü- ckes durch die Polizei im Unterlassungsfalle. Sollte ein Verkauf bis zum 31. Juli 2018 wider Erwarten noch nicht stattgefunden haben, so sei die Gesuchstellerin zu ver- pflichten, die Liegenschaft C._____-Strasse … in D._____, GB Blatt 1, Kataster Nr. 2, bis spätestens innert 10 Tagen nach erfolgter Beurkundung des Kaufvertrages zu verlassen, unter Androhung der Bestrafung nach Art. 292 StGB und der zwangswei- sen Räumung des Grundstückes durch die Polizei im Unterlassungsfalle. 4. Über den Hausrat einigen sich die Parteien aussergerichtlich, wobei festzustellen ist, dass die folgenden Gegenstände, welche sich aktuell in der Liegenschaft C._____- Strasse … in D._____ befinden, Eigentum der E._____ Ltd, … [Adresse], darstellen und von der Gesuchstellerin auf erstes Verlangen herauszugeben sind: 1 Paar Eckgarderoben aus dem Haus J. Lapie 6 Sessel (Fauteuils), aus dem Haus P. Malbet Büste (George III.) 8 Liegen/Chaise und zwei Sessel (Fauteuils), aus dem Haus J. Boucault Spiegel H 164cm L 100cm 1 Kommode, Epoche Louis XIV.</w:t>
      </w:r>
    </w:p>
    <w:p>
      <w:r>
        <w:t>- 3 - Gemälde "…" Klavier "Steinway", 1939 Sekretär Louis XVI Gemälde "…" Esstisch, Mahagoni, 19. Jhdt. Antikes Silber Antikes Silber Ohrringe 4 Diamanten 1 Paar Ohrringe aus Diamanten (Bomare) 12 Platzteller, Mexiko, 20. Jhdt. (Galerie F._____) 3 Teller und ovale Platte (Galerie F._____) Teppich HERIZ antik (Galerie F._____) Truhe, italienischer Spätbarock (Galerie F._____) Anrichte, Barock, 1639 (Galerie F._____) Bürotisch Frankreich, um 1900 (Galerie F._____) 2 Paravents, Frankreich, 19. Jhdt (Galerie F._____) Ensemble von 12 Stühlen, Schweiz (Galerie F._____) Anrichte Königin Anne, England, 17. Jhdt (Galerie F._____) 1 Paar Altarkerzenständer, italienischer Barock, 16. Jhdt (Galerie F._____) Teppich HERIZ, antik (Galerie F._____) Kaffee- &amp; Teekanne, London 1900 (Galerie F._____) Kaffee- &amp; Tee-Service, England (Galerie F._____) Sessel (Fauteuil) Crapeau Napoleon III. (Galerie F._____) Tischlampe, Bronze, Frankreich, Napoleon III. Grosse Eisenholztruhe Deutsche 5.522,45 Herrenarmbanduhr, Patek Philippe, 1920 Teile eines Tafelservices Streublumen Grosses assortiertes Tafelservice Berlin Rolex-Uhr Tasche von Hermes Himmelbett Barock-Stil, 19. Jhdt. Bett Ludwig XVI. Flaschenhalter, Metall versilbert, um 1900 3-teilige Kamingarnitur, Frankreich, Ende 19. Jhdt. Kunstdruck …: Composition …, 1969 Kunstwerk …, Keynesian, Acryl auf Müsli-Paket 18karat, Jahrhundert Enten, Wohl Deutschland</w:t>
      </w:r>
    </w:p>
    <w:p>
      <w:r>
        <w:t>- 4 - Gemälde Flandrin, … (1871 Corenc (Isere) 1947)1.712,90 Weinkühler, George III., England 804,45 Art Wein Box Farblithographie, …: Komposition in Grau, Grün Komposition in Grau, Rot und Grün Rolex-Uhr Yacht Patek Philippe Uhr, Beyer Chronometrie AG Collage, …: "7-Feb-06" 1 Paar Ohrringe aus Weissgold mit Diamanten Schmuck, Asprey London, GBP 400,00 (Amex -Mai) Gemälde aus … Auktionen Schmuck, Asprey London, GBP 540,00 (Amex - Juli) Tasche von Hermes (Biarritz) (Amex Juli) Schmuck, Sprey London, GBP 650,00 (Amex Dezember) Uhr (jewellery-watch), Hermes St. Moritz – (Amex Januar) Schmuck, Sprey London GBP 200,00 (Amex Februar) Perlenkette, erstanden bei … Auktion Schmuck, erstanden bei … Auktion (inv Med – 16-28) … Auktionen Schmuck, Schroeder Joailliers, EUR 1.200 (Amex Dezember) Schmuck, Schroeder Joailliers, EUR 1.250 (Swisscard Januar) 5. Es sei die gemeinsame Tochter G._____, geboren tt.mm.2004, für die Dauer des Ge- trenntlebens unter die alternierende Obhut der Gesuchstellerin und des Gesuchsgeg- ners zu stellen. Es sei vorzumerken, dass sich der Wohnsitz von G._____ beim Gesuchsgegner be- findet. Es sei weiter davon Vormerk zu nehmen, dass auf die ausdrückliche Regelung der Betreuungsanteile in Bezug auf die gemeinsame Tochter G._____ verzichtet wird. 6. Es sei der gemeinsame Sohn H._____, geboren tt.mm.2009, für die Dauer des Ge- trenntlebens unter die alleinige Obhut des Gesuchsgegners zu stellen. Es sei der Gesuchstellerin bezüglich des gemeinsamen Sohnes H._____ ein ange- messenes Besuchsrecht einzuräumen. 7. Es sei davon Vormerk zu nehmen, dass der Gesuchsgegner sich verpflichtet, sämtli- che direkten Kinderkosten von G._____ und H._____ zu bezahlen.</w:t>
      </w:r>
    </w:p>
    <w:p>
      <w:r>
        <w:t>- 5 - 8. Der Gesuchsgegner sei zu ermächtigen, die eheliche Liegenschaft an der C._____- Strasse … in D._____, GB Blatt 1, Kataster Nr. 2, ohne Zustimmung der Gesuchstel- lerin zu verkaufen. 9. Alles unter Kosten- und Entschädigungsfolgen (zzgl. MWSt) zu Lasten der Gesuch- stellerin." Sodann stellte der Gesuchsgegner folgende prozessualen Anträge (Urk. 8 S. 6): "Die Rechtsbegehren gemäss Ziffer 3 + 8 hiervor seien aufgrund ihrer Dringlichkeit vorweg zu behandeln. Der Gesuchsgegner beantragt, dass das Gericht bereits heute bzw. unmittel- bar im Anschluss an die heutige Verhandlung einen entsprechenden Entscheid erlässt. Alsdann sei der Prozess einstweilen auf das Rechtsbegehren Ziffer 1 hiervor zu beschrän- ken. Erst im Anschluss daran seien die weiteren Rechtsbegehren des Gesuchsgegners zu be- handeln." 1.2 Anlässlich der Hauptverhandlung vom 4. Juni 2018 schlossen die Par- teien unter Widerrufsvorbehalt eine umfassende Einigung (Urk. 10). Diese wurde von der Gesuchstellerin mit Schreiben vom 6. Juni 2018 widerrufen (Urk. 14). In der Folge ersuchte der Gesuchsgegner mit Schreiben vom 13. Juni 2018 um Fortsetzung des Eheschutzverfahrens und um Entscheid über die von ihm gestell- ten prozessualen Anträge (Urk. 18). Mit Verfügung vom 19. Juni 2018 entschied die Vorinstanz diesbezüglich wie folgt (Urk. 21A S.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