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LE180033 vom 19. September 2018</w:t>
      </w:r>
    </w:p>
    <w:p>
      <w:r>
        <w:t>ZH Obergericht, 2018-09-19, DE</w:t>
      </w:r>
    </w:p>
    <w:p>
      <w:r>
        <w:rPr>
          <w:b/>
        </w:rPr>
        <w:t xml:space="preserve">Quelle: </w:t>
      </w:r>
      <w:r>
        <w:t>https://mcp.opencaselaw.ch/entscheid/zh_obergericht_LE180033</w:t>
      </w:r>
    </w:p>
    <w:p>
      <w:r>
        <w:t>FR: ZH_OBERGERICHT LE180033 du 19 septembre 2018</w:t>
      </w:r>
    </w:p>
    <w:p>
      <w:r>
        <w:t>IT: ZH_OBERGERICHT LE180033 del 19 settembre 2018</w:t>
      </w:r>
    </w:p>
    <w:p>
      <w:pPr>
        <w:pStyle w:val="Heading2"/>
      </w:pPr>
      <w:r>
        <w:t>Erwägungen</w:t>
      </w:r>
    </w:p>
    <w:p>
      <w:r>
        <w:rPr>
          <w:b/>
        </w:rPr>
        <w:t>E. 19</w:t>
      </w:r>
    </w:p>
    <w:p>
      <w:r>
        <w:t>Dezember 2017 machte die Gesuchstellerin und Berufungsklägerin (fortan Gesuchstellerin) bei der Vorinstanz ein Eheschutzbegehren anhängig (Urk. 1). Der weitere Prozessverlauf kann dem erstinstanzlichen Urteil entnommen werden (Urk. 38 S. 4 f.). Am 12. April 2018 erliess die Vorinstanz den eingangs wiederge- gebenen Entscheid (Urk. 33 = Urk. 38). 1.2. Dagegen erhob die Gesuchstellerin am 28. Juni 2018 rechtzeitig (vgl. Urk. 34) Beschwerde mit den oben erwähnten Anträgen (Urk. 37 S. 2), wobei sie ausführte, der vorinstanzliche Entscheid werde nur in Bezug auf ihren Antrag Ziff. 4 und deshalb mit Beschwerde angefochten, da der Streitwert dieses Antrags die Grenze von Fr. 10'000.– nicht erreiche (Urk. 37 S. 3). 1.3. Gegenstand des vorliegenden Rechtsmittelverfahrens ist allein der Umfang der Unterhaltspflicht des Gesuchsgegners und Berufungsbeklagten (fortan Ge- suchsgegner). Damit liegt eine vermögensrechtliche Streitigkeit vor (vgl. Fam- Komm Scheidung/Vetterli, Art. 271 N 22 mit Verweis auf BGE 116 II 493 E. 2b). Es gilt daher das Streitwerterfordernis gemäss Art. 308 Abs. 2 ZPO zu beachten. Dafür nicht massgebend sind der erstinstanzliche Entscheid selbst, die Rechtsmit- telanträge oder die Parteierklärungen im Rechtsmittelverfahren. Abzustellen ist vielmehr auf den Betrag, welcher nach den Anträgen der Parteien bei Erlass des erstinstanzlichen Urteils noch streitig war (ZK ZPO-Reetz/Theiler, Art. 308 N 40 m.w.H.). Angesichts der von der Gesuchstellerin vor Vorinstanz geltend gemach- ten Unterhaltsbeiträge ist die erwähnte Streitwertgrenze ohne Weiteres erreicht, weshalb deren Beschwerde als Berufung entgegenzunehmen ist (ZR 110/2011 Nr. 109).</w:t>
      </w:r>
    </w:p>
    <w:p>
      <w:r>
        <w:t>- 7 - 1.4. Die vorinstanzlichen Akten wurden beigezogen. Da sich die Berufung – wie nachfolgend zu zeigen sein wird – als offensichtlich unbegründet erweist, kann auf die Einholung einer Berufungsantwort verzichtet werden (Art. 312 Abs. 1 ZPO). 2.1. Die Dispositiv-Ziffern 1, 3, 4 und 5 der vorinstanzlichen Verfügung sowie die Dispositiv-Ziffern 1, 2, 3, 4 und 5 des vorinstanzlichen Urteils blieben unangefoch- ten. In diesem Umfang ist der vorinstanzliche Entscheid in Rechtskraft erwach- sen, was vorzumerken ist. 2.2.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ist – abgesehen von offensichtli- chen Mängeln – von der Rechtsmittelinstanz grundsätzlich nicht zu überprüfen (BGE 142 III 413 E. 2.2.4). 3.1. Die Gesuchstellerin hatte vor Vorinstanz verlangt, der Gesuchsgegner sei zu verpflichten, ihr Fr. 2'259.90 zur Begleichung der vom Sozialdienst D._____ vor- geschossenen Nichterwerbstätigen-Beiträge an die AHV für das Jahr 2017 zu be- zahlen (Urk. 17 S. 1 Ziff. 4 und S. 12). Diesbezüglich erwog die Vorinstanz, im Eheschutzverfahren finde keine vorgezogene güterrechtliche Auseinandersetzung statt. Ein Grossteil der von der Gesuchstellerin geltend gemachten Beiträge an die AHV für das Jahr 2017 fielen in einen Zeitraum, als die Parteien noch zusam- mengelebt hätten. Damit komme das Begehren der Gesuchstellerin einer vorge- zogenen güterrechtlichen Auseinandersetzung gleich, weshalb darauf nicht einzu- treten sei (Urk. 38 S. 30).</w:t>
      </w:r>
    </w:p>
    <w:p>
      <w:r>
        <w:t>- 8 - 3.2. Die Gesuchstellerin rügt, AHV-Nichterwerbstätigen-Beiträge gehörten zum notwendigen Lebensunterhalt und stellten keine güterrechtlichen Forderungen dar, weshalb die Beiträge auch vom Sozialamt vorgeschossen worden seien. Dementsprechend habe sie ihre Ausführungen zum Antrag Ziff. 4 in die Ausfüh- rungen zu ihrem Unterhalt und Bedarf eingebettet. Zudem sei der (unbestritten gebliebene) Antrag unmittelbar nach den Anträgen zu den periodischen Unter- haltsbeiträgen gestellt worden. Es sei somit klar ersichtlich gewesen, dass der ge- forderte Betrag im Rahmen von Unterhalt und nicht als Güterrechtsforderung oder vorgezogene güterrechtliche Auseinandersetzung geltend gemacht worden sei. Die Beiträge seien von der SVA Zürich am 1. Dezember 2017 rückwirkend für das Jahr 2017 in Rechnung gestellt worden. Sie hätten daher während des Zusam- menlebens noch gar nicht beglichen werden können. Nach Art. 173 Abs. 3 ZGB könnten aber auch für die Zeit des Zusammenlebens rückwirkend Unterhaltsbei- träge verlangt werden. Die Vorinstanz sei daher zu Unrecht auf ihren Antrag be- treffend die Beiträge für Januar bis November 2017 nicht eingetreten. Sie habe ein schützenswertes Interesse an der Behandlung dieses Antrags, da sie die ge- samten Unterhaltsansprüche an das Sozialamt habe abtreten müssen und daher nicht auf die geschuldeten AHV-Nichterwerbstätigen-Beiträge verzichten könne (Urk. 37 S. 3 ff.). Mit separater Eingabe vom 28. Juni 2018 ergänzte die Gesuch- stellerin, aus der beigelegten Verfügung des Sozialdienstes D._____ vom 9. Ja- nuar 2018 (Urk. 43/6) gehe hervor, dass sie die bezogenen Sozialhilfeleistungen nach Erhalt des Ehegattenunterhalts zurückerstatten müsse. Eine formelle Abtre- tung liege nicht vor (Urk. 42). 3.3. Die Vorinstanz ging zu Recht davon aus, dass im Eheschutzverfahren keine güterrechtliche Auseinandersetzung erfolgen kann (vgl. FamKomm Schei- dung/Vetterli, Art. 176 N 50). Ebenso trifft zu, dass Unterhaltsbeiträge gestützt auf Art. 176 ZGB erst ab Aufhebung des gemeinsamen Haushaltes zuzusprechen sind (so die Vorinstanz, Urk. 38 S. 29 E. 6.1). Zu beachten ist allerdings auch Art. 173 ZGB, wonach auf Begehren eines Ehegatten auch für die Dauer des Zu- sammenlebens festzusetzen ist, wer welche Geldbeiträge an den Unterhalt der Familie zu zahlen hat. Zu diesem Unterhalt gehören unter anderem AHV- Nichterwerbstätigen-Beiträge (vgl. BSK ZGB I-Isenring/Kessler, Art. 163 N 13). Da</w:t>
      </w:r>
    </w:p>
    <w:p>
      <w:r>
        <w:t>- 9 - solche Unterhaltsbeiträge rückwirkend bis ein Jahr vor Einreichung des Begeh- rens gefordert werden können (Art. 173 Abs. 3 ZGB), kann der Vorinstanz nicht gefolgt werden, dass das Rechtsbegehren Ziff. 4 der Gesuchstellerin auf eine vorgezogene güterrechtliche Auseinandersetzung hinausliefe. 3.4.1. Aufgrund der Ausführungen der Gesuchstellerin stellt sich allerdings die Frage nach deren Aktivlegitimation. Diese ist als materiellrechtliche Vorausset- zung von Amtes wegen zu prüfen (BGer 4A_197/2012 vom 30. Juli 2012, E. 4.2; BGE 130 III 550 E. 2 = Pra 94 [2005] Nr. 61; BGE 126 III 59 E. 1a = Pra 89 [2000] Nr. 117; BGE 118 Ia 129 E. 1). 3.4.2. Nach Art. 176a ZGB in Verbindung mit Art. 131a Abs. 2 ZGB geht der Un- terhaltsanspruch mit allen Rechten auf das Gemeinwesen über, soweit dieses für den Unterhalt der berechtigten Person aufkommt. Ein solcher Übergang hat den Charakter einer Legalzession gemäss Art. 166 OR. Vorliegend steht ausser Fra- ge, dass der Sozialdienst der Stadt D._____ die Rechnung der SVA Zürich für die AHV-Nichterwerbstätigen-Beiträge der Gesuchstellerin für das Jahr 2017 vollum- fänglich bezahlte (Urk. 17 S. 12; Urk. 19/15a-c; Urk. 37 S. 5 f.). Insoweit ist ein all- fälliger Unterhaltsanspruch der Gesuchstellerin gegenüber dem Gesuchsgegner einschliesslich des Rechts zur klageweisen Geltendmachung auf das Gemeinwe- sen übergegangen (Botschaft Revision Kindesunterhalt vom 29. November 2013, BBl 2014, 529 ff., S. 584 mit Verweis auf BGE 123 III 161 E. 4b = Pra 86 [1997] Nr. 105; vgl. auch BGE 143 III 177 E. 6.3.3; BGer 8D_4/2013 vom 19. März 2014, E. 5.3; BGer 5A_634/2013 vom 12. März 2014, E. 4.1; BGE 138 III 145 E. 3.3.1; BGE 137 III 193 E. 3.8; BK-Hegnauer, Art. 289 ZGB N 87 ff.). Da der Klägerin somit hinsichtlich ihres vor Vorinstanz gestellten Rechtsbegehrens Ziff. 4 die Ak- tivlegitimation fehlt, ist dieses abzuweisen. Bei diesem Ausgang besteht kein An- lass, die unangefochten gebliebene Regelung der erstinstanzlichen Kosten- und Entschädigungsfolgen (Urk. 38 S. 40 Dispositiv-Ziff. 6 bis 8) abzuändern, weshalb diese zu bestätigen ist. 4.1. Für das zweitinstanzliche Verfahren rechtfertigt es sich, in Anwendung von § 12 Abs. 1 und 2 in Verbindung mit § 5 Abs. 1 und § 6 Abs. 2 lit. b der Gebüh- renverordnung des Obergerichtes vom 8. September 2010 eine Entscheidgebühr</w:t>
      </w:r>
    </w:p>
    <w:p>
      <w:r>
        <w:t>- 10 - von Fr. 1'200.– festzusetzen. Die Kosten sind ausgangsgemäss der in der Sache unterliegenden Gesuchstellerin aufzuerlegen (Art. 106 Abs. 1 ZPO). Für das Be- rufungsverfahren sind keine Parteientschädigungen zuzusprechen, der Gesuch- stellerin zufolge ihres Unterliegens, dem Gesuchsgegner mangels relevanter Um- triebe (Art. 106 Abs. 1 ZPO, Art. 95 Abs. 3 ZPO). 4.2. Die Gesuchstellerin beantragt, der Gesuchsgegner sei zu verpflichten, ihr für das Berufungsverfahren einen Prozesskostenbeitrag von Fr. 1'200.– zuzüglich der Beträge von allfälligen von ihr zu tragenden Prozesskosten zu bezahlen. Eventualiter sei ihr die unentgeltliche Rechtspflege (einschliesslich einer unent- geltlichen Rechtsvertretung) zu gewähren (Urk. 37 S. 2). Sowohl die Zusprechung eines Prozesskostenbeitrags des anderen Ehegat- ten als auch die Gewährung der unentgeltlichen Rechtspflege setzt neben der Mittellosigkeit der ansprechenden Partei die fehlende Aussichtslosigkeit des Be- gehrens bzw. des Rechtsmittels voraus. Da sich die vorliegende Berufung als aussichtslos erweist (vgl. die vorstehenden Erwägungen), sind beide Anträge ab- zuweisen. Es wird beschlossen: 1. Es wird vorgemerkt, dass die Dispositiv-Ziffern 1, 3, 4 und 5 der vorinstanzli- chen Verfügung sowie die Dispositiv-Ziffern 1, 2, 3, 4 und 5 des vorinstanzli- chen Urteils in Rechtskraft erwachsen sind. 2. Der Antrag der Gesuchstellerin um Verpflichtung des Gesuchsgegners zur Leistung eines Prozesskostenbeitrags wird abgewiesen. 3. Das Gesuch der Gesuchstellerin um Gewährung der unentgeltlichen Rechtspflege wird abgewiesen. 4. Schriftliche Mitteilung und Rechtsmittelbelehrung mit nachfolgendem Er- kenntnis.</w:t>
      </w:r>
    </w:p>
    <w:p>
      <w:r>
        <w:t>- 11 - Es wird erkannt: 1. Das Rechtsbegehren Ziff. 4 der Gesuchstellerin wird abgewiesen. 2. Das vorinstanzliche Kosten- und Entschädigungsdispositiv (Ziffern 6, 7 und 8 des vorinstanzlichen Urteils) wird bestätigt. 3. Die zweitinstanzliche Entscheidgebühr wird auf Fr. 1'200.– festgesetzt. 4. Die Gerichtskosten für das zweitinstanzliche Verfahren werden der Gesuch- stellerin auferlegt. 5. Für das zweitinstanzliche Verfahren werden keine Parteientschädigungen zugesprochen. 6. Schriftliche Mitteilung an die Parteien, an den Gesuchsgegner unter Beilage des Doppels von Urk. 37, sowie an die Vorinstanz, je gegen Empfangs- 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 wert beträgt Fr. 2'069.90. Die Beschwerde an das Bundesgericht hat keine aufschie- bende Wirkung. Hinsichtlich des Fristenlaufs gelten die Art. 44 ff. BGG.</w:t>
      </w:r>
    </w:p>
    <w:p>
      <w:r>
        <w:t>- 12 - Zürich, 19. September 2018 Obergericht des Kantons Zürich I. Zivilkammer Der Gerichtsschreiber: lic. iur. M. Hochuli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