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LE170072 vom 21. Dezember 2017</w:t>
      </w:r>
    </w:p>
    <w:p>
      <w:r>
        <w:t>ZH Obergericht, 2017-12-21, DE</w:t>
      </w:r>
    </w:p>
    <w:p>
      <w:r>
        <w:rPr>
          <w:b/>
        </w:rPr>
        <w:t xml:space="preserve">Quelle: </w:t>
      </w:r>
      <w:r>
        <w:t>https://mcp.opencaselaw.ch/entscheid/zh_obergericht_LE170072</w:t>
      </w:r>
    </w:p>
    <w:p>
      <w:r>
        <w:t>FR: ZH_OBERGERICHT LE170072 du 21 décembre 2017</w:t>
      </w:r>
    </w:p>
    <w:p>
      <w:r>
        <w:t>IT: ZH_OBERGERICHT LE170072 del 21 dicembre 2017</w:t>
      </w:r>
    </w:p>
    <w:p>
      <w:pPr>
        <w:pStyle w:val="Heading2"/>
      </w:pPr>
      <w:r>
        <w:t>Erwägungen</w:t>
      </w:r>
    </w:p>
    <w:p>
      <w:r>
        <w:rPr>
          <w:b/>
        </w:rPr>
        <w:t>E. 1</w:t>
      </w:r>
    </w:p>
    <w:p>
      <w:r>
        <w:t>a) Am 8. Juni 2017 reichte die Gesuchstellerin beim Bezirksgericht Zürich (Vorinstanz) ein Eheschutzbegehren ein (Urk. 1). Anlässlich der Verhand- lung vom 22. August 2017 schlossen die Parteien eine umfassende Trennungs- vereinbarung (Urk. 17, Vi-Prot. S. 4). Mit Urteil vom 23. August 2017 schloss die Vorinstanz das Eheschutzverfahren ab (Urk. 18; auf Begehren der Gesuchstelle-</w:t>
      </w:r>
    </w:p>
    <w:p>
      <w:r>
        <w:t>- 6 - rin nachträglich begründet, Urk. 26 = Urk. 28; Entscheiddispositiv eingangs wie- dergegeben). b) Hiergegen hat die Gesuchstellerin am 7. Dezember 2017 fristgerecht (ES bei Urk. 26) Berufung erhoben und die eingangs aufgeführten Berufungsan- träge gestellt (Urk. 27 S. 2). c) Die vorinstanzlichen Akten wurden beigezogen. Da sich die Berufung sogleich als unbegründet erweist, kann auf prozessuale Weiterungen verzichtet werden (Art. 312 Abs. 1 ZPO).</w:t>
      </w:r>
    </w:p>
    <w:p>
      <w:r>
        <w:rPr>
          <w:b/>
        </w:rPr>
        <w:t>E. 2</w:t>
      </w:r>
    </w:p>
    <w:p>
      <w:r>
        <w:t>a) Im Berufungsverfahren einzig umstritten sind die vom Gesuchs- gegner zu leistenden Unterhaltsbeiträge und dabei dessen Einkommen. Hierzu erwog die Vorinstanz im Wesentlichen, der Gesuchsgegner arbeite als Limousi- nen-Chauffeur bei der E._____ GmbH und verdiene offenbar für eine Vollzeitstelle und unter Anrechnung des Trinkgeldes monatlich Fr. 1'900.-- netto. Auch die Ge- suchstellerin habe betreffend die Lohnhöhe des Gesuchsgegners keine Einwen- dungen gehabt. Da es dem Gesuchsgegner möglich sein sollte, in dieser Branche für ein Vollzeitpensum mehr zu verdienen, hätten die Parteien die Anrechnung ei- nes hypothetischen Einkommens von monatlich Fr. 3'100.-- netto ab Januar 2018 vereinbart. Aus dem Lohnbuch Schweiz 2017 gehe hervor, dass dieses Einkom- men von Fr. 3'100.-- zwar etwas höher ausfalle, jedoch nicht unrealistisch sei. Beim Gesuchsgegner sei daher von einem anrechenbaren Nettoeinkommen von zunächst Fr. 1'900.-- und ab 1. Januar 2018 von einem solchen von Fr. 3'100.-- (je inkl. 13. Monatslohn, zuzüglich Kinderzulagen) auszugehen (Urk. 28 S. 15 f.). b)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die Berufung muss sich dementsprechend mit den Entscheidgründen der Vor- instanz im Einzelnen auseinandersetzen. Das Obergericht hat sodann die geltend gemachten Punkte frei und unbeschränkt zu überprüfen; es muss dagegen den</w:t>
      </w:r>
    </w:p>
    <w:p>
      <w:r>
        <w:t>- 7 - angefochtenen Entscheid nicht von sich aus auf weitere Mängel untersuchen, es sei denn, der Sachverhalt sei geradezu willkürlich festgestellt oder das Recht sei geradezu willkürlich angewandt worden und diese Fehlerhaftigkeiten würden klar zutage treten. c) Die Gesuchstellerin macht in ihrer Berufung zusammengefasst geltend, sie sei beim Abschluss der Trennungsvereinbarung vom 22. August 2017 vom Gesuchsgegner über dessen Einkommen getäuscht worden. Der Gesuchsgegner habe anlässlich der Vergleichsgespräche vorgebracht, nur über das Erwerbsein- kommen bei der E._____ GmbH zu verfügen. Dieser Punkt habe entgegen der vorinstanzlichen Erwägung, dass sie keine Einwendungen hiergegen gehabt ha- be, zu heftigen Diskussionen Anlass gegeben. Da der Gesuchsgegner aber glaubhaft ausgeführt habe, dass die von ihm vorgelegten Belege sein ganzes Einkommen belegen würden und er ein zweites Fahrzeug, einen als Taxi re- gistrierten VW Touran, an die Leasingfirma habe zurückgeben müssen, habe sie ihm schliesslich geglaubt, dass er nur noch über dieses und nicht mehr über das noch im Mai mit einer Zahlung von Fr. 5'777.12 ausgewiesene Einkommen verfü- ge. Nun habe sie nach der Verhandlung Nachforschungen über den VW Touran angestellt und beim Strassenverkehrsamt einen Beleg über dessen Übertragung erhalten und auch die Auskunft, dass dieses Fahrzeug vor und nach der Übertra- gung als Taxi registriert gewesen sei. Sie habe sodann auch eine Visitenkarte ge- funden, die auf einen weiteren Erwerbszweig schliessen lasse und darauf, dass mehr als ein F._____-Konto für den Gesuchsgegner existiere, denn er trete auch als privater Chauffeur auf. Hätte die Vorinstanz Kenntnis von diesen Unterlagen gehabt, hätte sie nicht auf weitere Abklärungen verzichtet. Der Gesuchsgegner habe die ganze Zeit und weiterhin ein Einkommen von mindestens Fr. 5'000.-- bis Fr. 5'500.-- zu erzielen vermocht. Die Vereinbarung leide damit an einem wesent- lichen Willensmangel und sei ungültig. Die Sache sei an die Vorinstanz für weitere Abklärungen zurückzuweisen (Urk. 27 S. 3 f.). d) Die Berufungsvorbringen der Gesuchstellerin sind nicht geeignet, eine Täuschung zu begründen, geschweige denn glaubhaft zu machen. Gemäss ihren Vorbringen wurde das Fahrzeug VW Touran tatsächlich übertragen (wie der Ge-</w:t>
      </w:r>
    </w:p>
    <w:p>
      <w:r>
        <w:t>- 8 - suchsgegner offenbar behauptet hatte); welche Relevanz der Umstand, dass es auch nach der Übertragung als Taxi registriert war – d.h. dass es von einem Drit- ten ebenfalls als Taxi genutzt wird –, für das Einkommen des Gesuchsgegners haben sollte, erschliesst sich aus den Berufungsvorbringen nicht. Die eingereichte Visitenkarte ist sodann von vornherein unbeachtlich, denn die Gesuchsgegnerin legt nicht dar, wann sie diese gefunden haben will und damit insbesondere nicht, dass dies erst nach der vorinstanzlichen Verhandlung vom 22. August 2017 ge- schehen sei und ihr damit die Einreichung im vorinstanzlichen Verfahren nicht möglich gewesen wäre (vgl. Art. 317 Abs. 1 lit. b ZPO). Ohnehin wäre mit dieser Visitenkarte (Urk. 30/4) ein weiteres Einkommen des Gesuchsgegners nicht an- nähernd glaubhaft gemacht (nur schon, weil unbekannt ist, wie alt diese Visiten- karte ist, d.h. ob sie überhaupt aktuell ist); die Gesuchstellerin selbst äussert hier- zu auch lediglich einen blossen "Verdacht" (Urk. 27 S. 3 unten). Die Vorinstanz hätte daher – auch unter der Geltung der Untersuchungsmaxime für Kinderbelan- ge (Art. 296 Abs. 1 ZPO) – sogar unter Berücksichtigung der Berufungsvorbringen keinen Anlass gehabt, zum Einkommen des Gesuchsgegners weitere Abklärun- gen zu tätigen. e) Nach dem Gesagten erweist sich die Berufung als unbegründet. Sie ist demgemäss abzuweisen und das angefochtene Urteil ist zu bestätigen (Art. 318 Abs. 1 lit. a ZPO).</w:t>
      </w:r>
    </w:p>
    <w:p>
      <w:r>
        <w:rPr>
          <w:b/>
        </w:rPr>
        <w:t>E. 3</w:t>
      </w:r>
    </w:p>
    <w:p>
      <w:r>
        <w:t>a) Die zweitinstanzliche Entscheidgebühr ist in Anwendung von § 6 Abs. 2 lit. b in Verbindung mit § 6 Abs. 1, § 5 und § 12 der Gerichtsgebührenver- ordnung auf Fr. 2'000.-- festzusetzen. b) Die Gerichtskosten des Berufungsverfahrens sind ausgangsgemäss der Gesuchstellerin aufzuerlegen (Art. 106 Abs. 1 ZPO). c) Die Gesuchstellerin hat ein Gesuch um unentgeltliche Rechtspflege für das Berufungsverfahren gestellt (Urk. 27 S. 2, S. 5). Ein Anspruch auf unentgeltli- che Rechtspflege setzt neben der Mittellosigkeit auch voraus, dass die Rechtsbe- gehren nicht aussichtslos erscheinen (Art. 117 lit. b ZPO). Die Berufung ist jedoch</w:t>
      </w:r>
    </w:p>
    <w:p>
      <w:r>
        <w:t>- 9 - als aussichtslos anzusehen (vgl. vorstehende Erwägungen), weshalb das Gesuch um unentgeltliche Rechtspflege abzuweisen ist. d) Für das Berufungsverfahren hat die Gesuchstellerin zufolge des Unter- liegens keinen Anspruch auf eine Entschädigung; dem Gesuchsgegner erwuchs kein relevanter Aufwand. Demgemäss sind für das Berufungsverfahren keine Par- 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