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LE170054 vom 28. September 2017</w:t>
      </w:r>
    </w:p>
    <w:p>
      <w:r>
        <w:t>ZH Obergericht, 2017-09-28, DE</w:t>
      </w:r>
    </w:p>
    <w:p>
      <w:r>
        <w:rPr>
          <w:b/>
        </w:rPr>
        <w:t xml:space="preserve">Quelle: </w:t>
      </w:r>
      <w:r>
        <w:t>https://mcp.opencaselaw.ch/entscheid/zh_obergericht_LE170054</w:t>
      </w:r>
    </w:p>
    <w:p>
      <w:r>
        <w:t>FR: ZH_OBERGERICHT LE170054 du 28 septembre 2017</w:t>
      </w:r>
    </w:p>
    <w:p>
      <w:r>
        <w:t>IT: ZH_OBERGERICHT LE170054 del 28 settembre 2017</w:t>
      </w:r>
    </w:p>
    <w:p>
      <w:pPr>
        <w:pStyle w:val="Heading2"/>
      </w:pPr>
      <w:r>
        <w:t>Erwägungen</w:t>
      </w:r>
    </w:p>
    <w:p>
      <w:r>
        <w:rPr>
          <w:b/>
        </w:rPr>
        <w:t>E. 26</w:t>
      </w:r>
    </w:p>
    <w:p>
      <w:r>
        <w:t>September 2017, zog die Gesuchsgegnerin die Berufung zurück. Das Verfah- ren ist entsprechend abzuschreiben. Ausgangsgemäss sind die Prozesskosten des Rechtsmittelverfahrens der Gesuchsgegnerin aufzuerlegen, wobei in Bezug auf den Aufwand des Gerichtes zu beachten ist, dass mit Verfügung vom 7. September 2017 bereits über das Gesuch der Gesuchsgegnerin um Gewährung der aufschiebenden Wirkung ent- schieden wurde (Urk. 7). Mangels erheblicher Umtriebe ist dem Gesuchsteller für das Rechtsmittelverfahren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