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LE170038 vom 22. August 2017</w:t>
      </w:r>
    </w:p>
    <w:p>
      <w:r>
        <w:t>ZH Obergericht, 2017-08-22, DE</w:t>
      </w:r>
    </w:p>
    <w:p>
      <w:r>
        <w:rPr>
          <w:b/>
        </w:rPr>
        <w:t xml:space="preserve">Quelle: </w:t>
      </w:r>
      <w:r>
        <w:t>https://mcp.opencaselaw.ch/entscheid/zh_obergericht_LE170038</w:t>
      </w:r>
    </w:p>
    <w:p>
      <w:r>
        <w:t>FR: ZH_OBERGERICHT LE170038 du 22 août 2017</w:t>
      </w:r>
    </w:p>
    <w:p>
      <w:r>
        <w:t>IT: ZH_OBERGERICHT LE170038 del 22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sind verheiratet und haben ein gemeinsames Kind, C._____, geboren am tt.mm.2016. Seit dem 19. Januar 2017 leben die Parteien getrennt. Mit Eingabe vom 20. Januar 2017 machte die Gesuchstellerin und Berufungsklä- gerin (nachfolgend Gesuchstellerin) bei der Vorinstanz ein Eheschutzbegehren anhängig (Urk. 1). Nach der Durchführung der Hauptverhandlung fällte die Vo- rinstanz am 20. Juni 2017 das eingangs wiedergegebene Urteil (Urk. 54).</w:t>
      </w:r>
    </w:p>
    <w:p>
      <w:r>
        <w:rPr>
          <w:b/>
        </w:rPr>
        <w:t>E. 2</w:t>
      </w:r>
    </w:p>
    <w:p>
      <w:r>
        <w:t>Dagegen erhob die Gesuchstellerin mit Eingabe vom 3. Juli 2017 recht- zeitig Berufung mit den oben zitierten Anträgen (Urk. 57). Da sich – wie zu zeigen ist – die Berufung sogleich als offensichtlich unbegründet erweist, kann auf die Einholung einer Berufungsantwort verzichtet werden (Art. 312 Abs. 1 ZPO).</w:t>
      </w:r>
    </w:p>
    <w:p>
      <w:r>
        <w:rPr>
          <w:b/>
        </w:rPr>
        <w:t>E. 3</w:t>
      </w:r>
    </w:p>
    <w:p>
      <w:r>
        <w:t>Mit der Berufung kann eine unrichtige Rechtsanwendung und eine unrich- tige Feststellung des Sachverhalts geltend gemacht werden (Art. 310 ZPO). Die Berufungsinstanz verfügt über eine vollständige Überprüfungsbefugnis der Streit- sache, d.h. über unbeschränkte Kognition bezüglich Tat- und Rechtsfragen. Auf die Begründung der Berufung ist nachfolgend nur insoweit einzugehen, als dies für die Entscheidfindung notwendig ist.</w:t>
      </w:r>
    </w:p>
    <w:p>
      <w:r>
        <w:t>- 7 -</w:t>
      </w:r>
    </w:p>
    <w:p>
      <w:r>
        <w:rPr>
          <w:b/>
        </w:rPr>
        <w:t>E. 4</w:t>
      </w:r>
    </w:p>
    <w:p>
      <w:r>
        <w:t>Weiter bestreitet die Gesuchstellerin neu, dass D._____ noch minderjäh- rig sei. Sollte D._____ jedoch noch minderjährig sein, wäre bei der Festsetzung der Unterhaltsbeiträge an C._____ der Eintritt der Volljährigkeit von D._____ zu berücksichtigen und anschliessend eine Erhöhung der Unterhaltsbeiträge an C._____ anzuordnen (Urk. 57 S. 5). Bei dieser neuen Tatsachenbehauptung handelt es sich um ein unzulässi- ges und damit unbeachtliches Novum (Art. 317 Abs. 1 ZPO, Art. 229 Abs. 3 ZPO). Abgesehen davon gab der Gesuchsteller zu Protokoll, dass D._____ elfjährig sei (Prot. I S. 36). Ausserdem kann dem "Debitoren Kontoauszug" des Sozialdienstes &amp; der Berufsbeistandschaft Rheinfelden entnommen werden, dass für D._____ regelmässig "Kinderalimente" in der Höhe von Fr. 539.– durch die öffentliche Hand bevorschusst werden (Urk. 13/3v). Es liegen somit keine objektiven An- haltspunkte dafür vor, dass D._____ bereits volljährig ist. Sollte D._____ noch während der Gültigkeitsdauer der vorliegenden Eheschutzmassnahmen volljährig werden, wird über eine allfällige Aufhebung bzw. Reduktion der Unterhaltspflicht im Rahmen eines Abänderungsverfahrens gemäss Art. 179 Abs. 1 ZGB zu ent- scheiden sein.</w:t>
      </w:r>
    </w:p>
    <w:p>
      <w:r>
        <w:rPr>
          <w:b/>
        </w:rPr>
        <w:t>E. 5</w:t>
      </w:r>
    </w:p>
    <w:p>
      <w:r>
        <w:t>Zusammengefasst erweisen sich die in der Berufungsschrift erhobenen Rügen als unbegründet. Weitere Mängel im Sinne von Art. 310 ZPO werden in</w:t>
      </w:r>
    </w:p>
    <w:p>
      <w:r>
        <w:t>- 10 - der Berufungsschrift nicht geltend gemacht und sind auch nicht offensichtlich (vgl. Art. 311 Abs. 1 ZPO). Damit bleibt es hinsichtlich der Höhe des Kinderunterhalts- beitrages für C._____ beim vorinstanzlichen Entscheid. Die Berufung ist abzuwei- sen, und die damit angefochtene Dispositiv-Ziffer 7 des vorinstanzlichen Urteils ist zu bestätigen (Art. 318 Abs. 1 lit. a ZPO). III. Kosten- und Entschädigungsfolgen Ausgangsgemäss sind die Kosten des Berufungsverfahrens vollumfänglich der mit ihrem Rechtsmittelantrag unterliegenden Gesuchstellerin aufzuerlegen (Art. 106 Abs. 1 ZPO). Die zweitinstanzliche Entscheidgebühr ist gestützt auf § 12 Abs. 1 und 2 i.V.m. § 2, § 5 Abs. 1 und § 6 Abs. 2 lit. b GebV OG auf Fr. 2'000.– festzusetzen (Art. 105 Abs. 1 ZPO) Hingegen sind für das zweitinstanzliche Verfahren keine Parteientschädi- gungen zuzusprechen, der Gesuchstellerin zufolge ihres Unterliegens, dem Ge- suchsgegner mangels relevanter Umtriebe (vgl. Art. 95 Abs. 3 ZPO, Art. 106 Abs. 1 ZPO). IV. Unentgeltliche Rechtspflege Die Gesuchstellerin ersucht auch für das zweitinstanzliche Verfahren um Bewilligung der unentgeltlichen Rechtspflege und Beigabe eines unentgeltlichen Rechtsbeistandes (Urk. 57 S. 2). Voraussetzung für die Bewilligung der unentgelt- lichen Rechtspflege ist neben der Mittellosigkeit der darum ersuchenden Person, dass die Rechtsbegehren nicht aussichtslos erscheinen (Art. 117 lit. b ZPO). Wie sich aus den vorstehenden Erwägungen ergibt, ist die Berufung der Gesuchstelle- rin von Anfang an als aussichtslos anzusehen. Daher ist ihr Gesuch um unentgelt- liche Rechtspflege abzuweisen (dazu BGE 138 III 217 E. 2.2.4 S. 218).</w:t>
      </w:r>
    </w:p>
    <w:p>
      <w:r>
        <w:t>- 11 -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