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LE170018 vom 28. Juli 2017</w:t>
      </w:r>
    </w:p>
    <w:p>
      <w:r>
        <w:t>ZH Obergericht, 2017-07-28, DE</w:t>
      </w:r>
    </w:p>
    <w:p>
      <w:r>
        <w:rPr>
          <w:b/>
        </w:rPr>
        <w:t xml:space="preserve">Quelle: </w:t>
      </w:r>
      <w:r>
        <w:t>https://mcp.opencaselaw.ch/entscheid/zh_obergericht_LE170018</w:t>
      </w:r>
    </w:p>
    <w:p>
      <w:r>
        <w:t>FR: ZH_OBERGERICHT LE170018 du 28 juillet 2017</w:t>
      </w:r>
    </w:p>
    <w:p>
      <w:r>
        <w:t>IT: ZH_OBERGERICHT LE170018 del 28 luglio 2017</w:t>
      </w:r>
    </w:p>
    <w:p>
      <w:pPr>
        <w:pStyle w:val="Heading2"/>
      </w:pPr>
      <w:r>
        <w:t>Erwägungen</w:t>
      </w:r>
    </w:p>
    <w:p>
      <w:r>
        <w:rPr>
          <w:b/>
        </w:rPr>
        <w:t>E. 1</w:t>
      </w:r>
    </w:p>
    <w:p>
      <w:r>
        <w:t>Die Parteien standen sich seit dem 14. April 2016 vor Vorinstanz in einem Eheschutzverfahren gegenüber. Sie haben einen ehelichen Sohn, C._____, gebo- ren am tt.mm.2010. Die Klägerin und Berufungsbeklagte (fortan Klägerin) lebt seit Ende August 2016 mit C._____ in D._____, der Beklagte und Berufungskläger (fortan Beklagte) wohnt nach wie vor in F._____. Gemäss Eheschutzvereinbarung vom 23. Februar 2017 erklärte sich der Beklagte mit dem Umzug nach D._____ einverstanden und erteilte seine Zustimmung zum Wechsel des Aufenthaltsortes des Sohnes von F._____ nach D._____ (Urk. 96 Ziff. 2.3). Neben dem Wohnsitz- wechsel regelten die Parteien auch sämtliche weiteren Nebenfolgen des Ge- trenntlebens in der gerichtlichen Vereinbarung vom 23. Februar 2017 (Urk. 96). Mit Urteil vom gleichen Tag merkte die Vorinstanz die erwähnte Eheschutzverein- barung der Partien vor und genehmigte diese in Bezug auf die Kinderbelange (Urk. 97 S. 12, Dispositivziffer 1). Mit Schreiben vom 8. März 2017 beantragte der Beklagte die schriftliche Begründung des Urteils (Urk. 101). Die begründete Fas- sung des vorinstanzlichen Entscheids vom 23. Februar 2017 (Urk. 106) wurde den Parteien am 20. März 2017 zugestellt (Urk. 107). Hinsichtlich der übrigen vor- instanzlichen Prozessgeschichte ist auf die Ausführungen im angefochtenen Ent- scheid zu verweisen (Urk. 110 E. 1).</w:t>
      </w:r>
    </w:p>
    <w:p>
      <w:r>
        <w:rPr>
          <w:b/>
        </w:rPr>
        <w:t>E. 2</w:t>
      </w:r>
    </w:p>
    <w:p>
      <w:r>
        <w:t>Die Berufungsbeklagte verpflichtet sich, die Beschwerde bei der III. Strafkam- mer (Geschäfts-Nr. UE170094-O) innerhalb von fünf Tagen nach Unterzeich- nung der vorliegenden Vereinbarung zurück zu ziehen. Der Berufungskläger bzw. der Beschwerdegegner im Strafverfahren verzichtet auf eine allfällige Entschädigung.</w:t>
      </w:r>
    </w:p>
    <w:p>
      <w:r>
        <w:rPr>
          <w:b/>
        </w:rPr>
        <w:t>E. 2.1</w:t>
      </w:r>
    </w:p>
    <w:p>
      <w:r>
        <w:t>In der von der Vorinstanz genehmigten Vereinbarung vom 23. Februar 2017 (Urk. 96) wurde das Kontaktrecht in Ziffer 2.4. absichtlich relativ unscharf formu- liert. Nach Ansicht der Vorinstanz erfordere die räumliche Distanz zwischen den beiden Wohnorten der Eltern eine gewisse Offenheit in der Regelung des persön- lichen Verkehrs, um nicht vorhersehbaren Gegebenheiten flexibel Rechnung tra- gen zu können (Urk. 110 E. 3.5). Berufungsweise bringt der Beklagte nun vor, dass genau diese offene Formulierung bereits kurz nach der Verhandlung vom 23. Februar 2017 zu Konflikten zwischen den Parteien in Bezug auf die Rück-</w:t>
      </w:r>
    </w:p>
    <w:p>
      <w:r>
        <w:t>- 15 - kehrzeit nach den Ferien, den Übergabeort sowie die vereinbarten Skype-Ter- mine geführt habe. Die Rechtsvertreter der Parteien, die Vorinstanz sowie der Prozessbeistand des Kindes hätten damals offensichtlich die Verständigungsfä- higkeit der Eltern überschätzt. Wie aus der E-Mail-Korrespondenz sowie den SMS-Nachrichten der Parteien ersichtlich sei, hätten sich die Eltern in der Zeit zwischen Unterzeichnung der Vereinbarung am 23. Februar 2017 und Ablauf der Berufungsfrist am 30. März 2017 weder bilateral noch über ihre Rechtsvertreter einigen können. Im Interesse des Kindeswohls habe sich der Beklagte daher ge- zwungen gesehen, die erstinstanzliche Besuchsrechtsregelung auf dem Beru- fungsweg gerichtlich ergänzen bzw. präzisieren zu lassen (Urk. 109 S. 5 f.).</w:t>
      </w:r>
    </w:p>
    <w:p>
      <w:r>
        <w:rPr>
          <w:b/>
        </w:rPr>
        <w:t>E. 2.2</w:t>
      </w:r>
    </w:p>
    <w:p>
      <w:r>
        <w:t>Tatsächlich ist den zahl- und umfangreichen E-Mail- bzw. SMS-Nachrichten ab dem 25. Februar 2017 zu entnehmen, dass die Parteien nur wenige Tage nach Unterzeichnung der Vereinbarung bereits heftige Diskussionen im Zusammen- hang mit der Kontaktregelung hatten, die jedoch – soweit ersichtlich – zu keiner Lösung der Konflikte geführt haben (Urk. 112/1 und 112/2). Die entsprechenden Meinungsverschiedenheiten drehten sich dabei immer wieder um dieselben The- men, wobei beide Parteien jeweils beharrlich an ihren Standpunkten festhielten, was eine Kompromisslösung verunmöglichte. Gestützt auf die erwähnte konflikt- behaftete Korrespondenz muss tatsächlich von einer verringerten Verständi- gungsfähigkeit der Parteien ausgegangen werden. Die Kontroversen betrafen da- bei vorwiegend die Zeiten für die Skype-Kontakte sowie den genauen Zeitpunkt der Rückgabe des Sohnes nach den Ferien mit dem Beklagten. Die zahlreichen Auseinandersetzungen hatten dabei auch Auswirkungen auf C._____, da bei- spielsweise immer wieder Skype-Kontakte ausgefallen sind, weil sich die Eltern nicht auf einen Zeitpunkt einigen konnten (vgl. Urk. 112/2). Ein weiteres Beispiel betrifft die Übergabe des Sohnes vom 1. März 2017. Die Klägerin forderte den Beklagten auf, C._____ nach den Ferien um 14:00 Uhr zurück nach D._____ zu bringen und drohte dem Beklagten, dass er sein Ferienrecht verwirke, wenn er nicht vorab schriftlich bestätige, dass er mit der vorgeschlagenen Rückkehrzeit einverstanden sei (Urk. 112/1 S. 1 und 112/2 S. 2). Somit war bis kurz vor Ferien- beginn nicht klar, ob die Übergabe von C._____ stattfinden werde, da sich die Parteien nicht über den Rückgabezeitpunkt einigen konnten.</w:t>
      </w:r>
    </w:p>
    <w:p>
      <w:r>
        <w:t>- 16 -</w:t>
      </w:r>
    </w:p>
    <w:p>
      <w:r>
        <w:rPr>
          <w:b/>
        </w:rPr>
        <w:t>E. 2.3</w:t>
      </w:r>
    </w:p>
    <w:p>
      <w:r>
        <w:t>Mit der nun vor Obergericht getroffenen Regelung konnte zumindest für die Hauptstreitpunkte eine geeignete Lösung gefunden werden. Die klar definierten Skype-Zeiten geben insbesondere C._____ eine gewisse Sicherheit und Kontinui- tät. Auch die Parteien können aufgrund der vereinbarten Zeiten besser planen und das Kind regelmässig auf die Telefonate vorbereiten. Den Bedenken der Klä- gerin, wonach C._____ nach den Anrufen des Beklagten nicht richtig einschlafen könne, wird dadurch Rechnung getragen, dass die abendlichen Anrufe nur am Freitag stattfinden, da C._____ am Samstagmorgen nicht zur Schule gehen muss. Ferner sollten auch die neu festgelegten Besuchs- bzw. Ferienzeiten sowie der vereinbarte Übergabeort das Konfliktpotential zwischen den Parteien erheb- lich vermindern und eine gewisse Kontinuität garantieren. Es wurde dabei berück- sichtigt, dass die Abholzeit bei Ferienbeginn nicht zu früh am Morgen (10:00 Uhr) und die Rückkehrzeit nach den Ferien nicht zu spät am Abend (16:00 Uhr) ange- setzt wurden. Durch die Rückkehr am Nachmittag soll dem Kind die Wiederein- gewöhnung und Vorbereitung auf den Alltag bzw. Schulbeginn erleichtert werden. Trotz der missverständlichen Formulierung in der Vereinbarung ("… an jedem zweiten Wochenende jeden Monats …"), welche aus dem vorinstanzlichen Urteil übernommen wurde, gehen beide Parteien korrekterweise davon aus, dass die Besuche beim Beklagten alternierend jedes zweite Wochenende und somit min- destens zweimal im Monat stattfinden sollen (vgl. Urk. 112/1 S. 3, S. 11, S. 18 und S. 35). Schliesslich beinhaltet die Konvention eine ausgewogene Feiertags- regelung, sodass beide Elternteile die Möglichkeit haben, auch die Feiertage re- gelmässig mit C._____ zu verbringen. 3. Die vorliegend getroffene Konkretisierung bzw. Präzisierung der Regelung des persönlichen Verkehrs nimmt durch klar definierte Vorgaben angemessen Rücksicht auf die Interessen des Kindes und des Beklagten an einem persönli- chen und regelmässigen Umgang miteinander. Zusammenfassend haben die Par- teien eine praktikable und dem Kindeswohl entsprechende Kontaktregelung ge- troffen, welche nach dem Gesagten zu genehmigen ist.</w:t>
      </w:r>
    </w:p>
    <w:p>
      <w:r>
        <w:t>- 17 - III. 1. Beide Parteien stellen auch für das Berufungsverfahren ein Gesuch um un- entgeltliche Rechtspflege und Rechtsverbeiständung (Urk. 109 S. 3; Prot. S. 4).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der Rech- te notwendig ist (Art. 118 Abs. 1 lit. c ZPO). 2. Der Beklagte bringt vor, seine finanziellen Verhältnisse hätten sich seit dem erstinstanzlichen Verfahren nicht verändert. Es sei aktenkundig, dass er nicht in der Lage sei, die Gerichtskosten und die Kosten für die Rechtsvertretung zu be- zahlen. Zudem gehe aus der Berufungsschrift hervor, dass seine Anträge nicht aussichtslos gewesen seien (Urk. 109 S. 11). Unter Verweis auf die Lohnabrech- nung vom Juni 2017 macht der Beklagte geltend, er erziele aktuell ein monatli- ches Nettoerwerbseinkommen von (gerundet) Fr. 7'573.– (Urk. 125 S. 1; Urk. 127/1). Das ihm von der Vorinstanz angerechnete Einkommen von Fr. 7'578.– (Urk. 110 S. 16 und S. 19 E. 3.6) treffe damit nach wie vor zu. Auch der von der Vorinstanz berechnete Bedarf des Beklagten von Fr. 3'961.– (Urk. 110 S. 17 und S. 19 E. 3.6) sei immer noch aktuell und könne mit den im erstinstanzlichen Ver- fahren eingereichten Urkunden belegt werden (Urk. 125 S. 2). Die von der Vorinstanz vorgenommene Einkommens- und Bedarfsberech- nung des Beklagten deckt sich mit den aktenkundigen Belegen (Urk. 53/1-9; Urk. 85/7-12; Urk. 127/1) und ist entsprechend nicht zu beanstanden. Ferner lie- gen keine Anhaltspunkte vor, wonach der Beklagte die mittlerweile in Rechtskraft erwachsenen Unterhaltsbeiträge von insgesamt Fr. 3'600.– pro Monat (Urk. 110, Dispositivziffer 1.3. und 1.4.) nicht regelmässig bezahlt. Unter Berücksichtigung dieser Unterhaltsverpflichtung verbleibt dem Beklagten ein Überschuss von mo- natlich lediglich Fr. 12.– (Fr. 7'573 ./. Fr. 3'961.– ./. Fr. 3'600.–). Zudem verfügt er über kein nennenswertes Vermögen (Urk. 127/2-3; Urk. 85/14-30). Die Mittello- sigkeit des Beklagten ist somit ausgewiesen. Sodann kann nicht gesagt werden,</w:t>
      </w:r>
    </w:p>
    <w:p>
      <w:r>
        <w:t>- 18 - dass sein Standpunkt im Berufungsverfahren aussichtslos und er nicht auf rechtli- chen Beistand angewiesen gewesen sei. Damit ist dem Beklagten die unentgeltli- che Rechtspflege für das Berufungsverfahren zu gewähren und Rechtsanwalt lic. iur. X._____ als unentgeltlichen Rechtsbeistand zu bestellen. 3. Die Klägerin erzielt aufgrund ihres Studiums nach wie vor kein eigenes Er- werbseinkommen und verfügt auch über kein nennenswertes Vermögen (vgl. Urk. 128 mit Verweis auf Urk. 129, Urk. 25/1, Urk. 55/1, Urk. 59/1-4 und Prot. I S. 23). Auch der von der Vorinstanz berechnete Bedarf (Urk. 110 S. 24) für die Klägerin (Fr. 3'116.–) und den Sohn C._____ (Fr. 1'168.–) ist ausgewiesen (Urk. 128 mit Verweis auf Urk. 51/2, Urk. 51/3, Urk. 58/4, Urk. 80/12, Urk. 80/13 und Urk. 80/15). Mit den Unterhaltsbeiträgen von Fr. 2'620.– für die Klägerin und Fr. 980.– (zuzüglich Familienzulage) für C._____ kann die Klägerin ihren und C._____s Bedarf von total Fr. 4'284.– nicht decken. Ihre Mittellosigkeit ist somit ebenfalls er- stellt und aufgrund der Fremdsprachigkeit ist sie auf rechtlichen Beistand ange- wiesen. Damit ist der Klägerin die unentgeltliche Rechtspflege zu gewähren und Rechtsanwältin lic. iur. Y._____ als unentgeltliche Rechtsbeiständin zu bestellen. IV.</w:t>
      </w:r>
    </w:p>
    <w:p>
      <w:r>
        <w:rPr>
          <w:b/>
        </w:rPr>
        <w:t>E. 3</w:t>
      </w:r>
    </w:p>
    <w:p>
      <w:r>
        <w:t>Im Nachgang zur Vergleichsverhandlung reichten beide Parteien – unter Beilage der entsprechenden Belege – eine schriftliche Begründung ihres Armen- rechtsgesuches nach, der Beklagte am 10. Juli 2017 (Urk. 125-127/1-3) und die Klägerin am 21. Juli 2017 (Urk. 128 und 129). Die vorgenannte Vereinbarung wurde nach der Verhandlung zusätzlich dem Kindsvertreter, lic. iur. Z._____, zu- gestellt (Urk. 130), welcher sie am 25. Juli 2017 ebenfalls unterzeichnet hat (Urk. 133).</w:t>
      </w:r>
    </w:p>
    <w:p>
      <w:r>
        <w:rPr>
          <w:b/>
        </w:rPr>
        <w:t>E. 4</w:t>
      </w:r>
    </w:p>
    <w:p>
      <w:r>
        <w:t>Gegenstand der vorliegenden Berufung ist lediglich das Besuchsrecht ge- mäss Dispositivziffer 1.2.4. des angefochtenen Urteils (Urk. 110 S. 22). Die übri- gen Dispositivziffern 1.1.,1.2.1., 1.2.2., 1.2.3. und 1.3. bis 1.11. sowie die Ziffern 2 bis 6 des vorinstanzlichen Eheschutzurteils blieben unangefochten (vgl. Urk. 109 S. 4 Rz. 4). In diesem Umfang ist das erstinstanzliche Urteil in Rechtskraft er- wachsen (Art. 315 Abs. 1 ZPO), wovon Vormerk zu nehmen ist.</w:t>
      </w:r>
    </w:p>
    <w:p>
      <w:r>
        <w:t>- 14 - II. 1. Soweit es Kinderbelange (Obhut, Besuchsrecht etc.) zu regeln gilt, findet die Offizial- und Untersuchungsmaxime Anwendung (Art. 296 Abs. 1 ZPO). Daher un- terliegt Ziffer 1 der von den Parteien getroffenen Vereinbarung im Sinne eines übereinstimmenden Parteiantrages der gerichtlichen Prüfung und Genehmigung (vgl. ZK-Bräm, Art. 176 ZGB N 18). Für die Genehmigung wird vorausgesetzt, dass die Vereinbarung dem Kindeswohl entspricht bzw. dieses gewahrt wird. 2. Eltern, denen die Obhut nicht zusteht, und das minderjährige Kind haben gemäss Art. 273 Abs. 1 ZGB gegenseitig Anspruch auf angemessenen persönli- chen Verkehr. Als oberste Richtschnur für die Ausgestaltung des Kontaktrechts gilt das Kindeswohl, das anhand der Umstände des konkreten Einzelfalls zu beur- teilen ist. Bei der Festsetzung des Besuchsrechts geht es nicht darum, einen ge- rechten Interessenausgleich zwischen den Eltern zu finden, sondern den elterli- chen Kontakt mit dem Kind in seinem Interesse zu regeln. Es ist allgemein aner- kannt, dass aufgrund des schicksalhaften Kind-Eltern-Verhältnisses die Bezie- hung des Kindes zu beiden Elternteilen sehr wichtig und von hohem Wert ist und bei der Identitätsfindung des Kindes eine entscheidende Rolle spielen kann (BGE 122 III 404 E. 3a). Häufigkeit und Dauer der Besuchskontakte richten sich dabei vor allem nach dem Alter des Kindes, seiner bisherigen Bindung zum anderen El- ternteil, der Entfernung und Erreichbarkeit der Wohnorte der Eltern sowie nach der Häufigkeit der bisherigen Kontakte (BSK ZGB I-Schwenzer/Cottier, Art. 273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