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LE170010 vom 20. April 2017</w:t>
      </w:r>
    </w:p>
    <w:p>
      <w:r>
        <w:t>ZH Obergericht, 2017-04-20, DE</w:t>
      </w:r>
    </w:p>
    <w:p>
      <w:r>
        <w:rPr>
          <w:b/>
        </w:rPr>
        <w:t xml:space="preserve">Quelle: </w:t>
      </w:r>
      <w:r>
        <w:t>https://mcp.opencaselaw.ch/entscheid/zh_obergericht_LE170010</w:t>
      </w:r>
    </w:p>
    <w:p>
      <w:r>
        <w:t>FR: ZH_OBERGERICHT LE170010 du 20 avril 2017</w:t>
      </w:r>
    </w:p>
    <w:p>
      <w:r>
        <w:t>IT: ZH_OBERGERICHT LE170010 del 20 aprile 2017</w:t>
      </w:r>
    </w:p>
    <w:p>
      <w:pPr>
        <w:pStyle w:val="Heading2"/>
      </w:pPr>
      <w:r>
        <w:t>Erwägungen</w:t>
      </w:r>
    </w:p>
    <w:p>
      <w:r>
        <w:rPr>
          <w:b/>
        </w:rPr>
        <w:t>E. 1</w:t>
      </w:r>
    </w:p>
    <w:p>
      <w:r>
        <w:t>Die Parteien sind seit dem tt. Oktober 2013 verheiratet. Sie haben zwei ge- meinsame Kinder, C._____, geboren am tt.mm 2014, und D._____, geboren am tt.mm 2015 (Urk. 6/8). Am 28. Juli 2016 wandte sich der Kläger und Berufungs- kläger (nachfolgend Kläger) an die KESB des Bezirks Pfäffikon mit der Bitte um</w:t>
      </w:r>
    </w:p>
    <w:p>
      <w:r>
        <w:t>- 3 - Unterstützung bei der Bewältigung des Konflikts mit der Beklagten und Beru- fungsbeklagten (nachfolgend Beklagte; Urk. 6/54/1/2).</w:t>
      </w:r>
    </w:p>
    <w:p>
      <w:r>
        <w:rPr>
          <w:b/>
        </w:rPr>
        <w:t>E. 2</w:t>
      </w:r>
    </w:p>
    <w:p>
      <w:r>
        <w:t>Am 3. August 2016 machte der Kläger bei der Vorinstanz ein Eheschutzbe- gehren anhängig (Urk. 6/1). Am 8. August 2016 wurden die Parteien zur Haupt- verhandlung am 8. November 2016 vorgeladen (Urk. 6/5). Zufolge ärztlich attes- tierter Verhandlungsunfähigkeit des Klägers wurde die Verhandlung auf den 21. Februar 2017 verschoben (Urk. 6/42-43). Mit Eingabe vom 1. Dezember 2016 beantragte die Beklagte, es seien superprovisorische Massnahmen (Obhutszutei- lung an die Beklagte, Zuweisung der ehelichen Wohnung an den Kläger, Ver- pflichtung des Klägers zur Herausgabe von diversen Gegenständen) zu erlassen (Urk. 6/47 S. 2 f.). Dieser Antrag wurde mit Verfügung vom 6. Dezember 2016 abgewiesen (Urk. 6/50). Mit Entscheid vom 10. Februar 2017 leitete die KESB des Bezirks Pfäffikon eine Eingabe des Klägers vom 9. Februar 2017 an die Vor- instanz weiter (Urk. 6/63). Am 13. Februar 2017 erliess die Vorinstanz den ein- gangs wiedergegebenen Entscheid (Urk. 2).</w:t>
      </w:r>
    </w:p>
    <w:p>
      <w:r>
        <w:rPr>
          <w:b/>
        </w:rPr>
        <w:t>E. 3</w:t>
      </w:r>
    </w:p>
    <w:p>
      <w:r>
        <w:t>Die Gerichtskosten werden auf die Gerichtskasse genommen.</w:t>
      </w:r>
    </w:p>
    <w:p>
      <w:r>
        <w:rPr>
          <w:b/>
        </w:rPr>
        <w:t>E. 3.1</w:t>
      </w:r>
    </w:p>
    <w:p>
      <w:r>
        <w:t>Der Kläger ersucht für das Berufungsverfahren um Gewährung der unent- geltlichen Rechtspflege sowie um Bestellung einer unentgeltlichen Rechtsvertre- tung (Urk. 1 S. 10). Nach Art. 117 ZPO hat eine Person Anspruch auf unentgeltli- che Rechtspflege, wenn sie nicht über die erforderlichen Mittel verfügt (lit. a) und ihr Rechtsbegehren nicht aussichtslos erscheint (lit. b). Wenn dies zur Wahrung ihrer Rechte notwendig ist, insbesondere wenn die Gegenpartei anwaltlich vertre- ten ist, besteht darüber hinaus ein Anspruch auf unentgeltliche Verbeiständung (Art. 118 Abs. 1 lit. c ZPO).</w:t>
      </w:r>
    </w:p>
    <w:p>
      <w:r>
        <w:rPr>
          <w:b/>
        </w:rPr>
        <w:t>E. 3.2</w:t>
      </w:r>
    </w:p>
    <w:p>
      <w:r>
        <w:t>Der Kläger bringt zur Begründung seines Armenrechtsgesuchs vor, er werde weiterhin vom Sozialamt unterstützt (Urk. 1 S. 10). Eine entsprechende, aktuelle Bestätigung des Sozialsekretariats der Gemeinde E._____ liegt vor (Urk. 15/1). Gemäss Steuererklärung 2016 verfügt der Kläger nicht über massgebliches Ver- mögen (Urk. 15/2). Somit ist er mittellos. Sein Prozessstandpunkt kann sodann nicht als aussichtslos bezeichnet werden. Ihm ist daher die unentgeltliche Rechtspflege zu bewilligen. Mit der Regelung von persönlichem Verkehr waren gewichtige Interessen des Klägers betroffen. Er ist rechtsunkundig und die Ge- genpartei war anwaltlich vertreten. Aus diesen Gründen war er auf anwaltliche Vertretung angewiesen. Deshalb ist ihm im Berufungsverfahren die unentgeltliche Rechtspflege zu bewilligen und in der Person von Rechtsanwalt Dr. iur. X._____</w:t>
      </w:r>
    </w:p>
    <w:p>
      <w:r>
        <w:t>- 8 - ein unentgeltlicher Rechtsbeistand zu bestellen. Ihm steht gemäss Art. 122 Abs. 2 ZPO eine angemessene Entschädigung zu. Diese ist in Anwendung von § 5 Abs. 1, § 6 Abs. 1 und 3, § 11 Abs. 1 und § 13 AnwGebV auf Fr. 1'500.– (inkl. MWSt.) festzusetzen. Schliesslich ist der Kläger auf die Nachzahlungspflicht ge- mäss Art. 123 ZPO hinzuweisen. Es wird beschlossen: 1. Die Verfügung des Einzelgerichts am Bezirksgericht Pfäffikon vom 13. Februar 2017 wird aufgehoben und die Sache zur Fortsetzung des Ver- fahrens und zu neuer Entscheidung im Sinne der Erwägungen an die Vor- instanz zurückgewiesen. 2. Dem Kläger wird für das Berufungsverfahren die unentgeltliche Rechtspflege gewährt und in der Person von Rechtsanwalt Dr. iur. X._____ ein unentgelt- licher Rechtsbeistand bestellt. Die Nachzahlungspflicht gemäss Art. 123 ZPO bleibt vorbehalten.</w:t>
      </w:r>
    </w:p>
    <w:p>
      <w:r>
        <w:rPr>
          <w:b/>
        </w:rPr>
        <w:t>E. 4</w:t>
      </w:r>
    </w:p>
    <w:p>
      <w:r>
        <w:t>Für das Berufungsverfahren wird keine Parteientschädigung zugesprochen.</w:t>
      </w:r>
    </w:p>
    <w:p>
      <w:r>
        <w:rPr>
          <w:b/>
        </w:rPr>
        <w:t>E. 5</w:t>
      </w:r>
    </w:p>
    <w:p>
      <w:r>
        <w:t>Dem unentgeltlichen Rechtsbeistand des Klägers wird für das Berufungsver- fahren aus der Gerichtskasse eine Entschädigung von Fr. 1'500.– ausgerich- tet.</w:t>
      </w:r>
    </w:p>
    <w:p>
      <w:r>
        <w:rPr>
          <w:b/>
        </w:rPr>
        <w:t>E. 6</w:t>
      </w:r>
    </w:p>
    <w:p>
      <w:r>
        <w:t>Schriftliche Mitteilung an die Parteien, an die Obergerichtskasse, an das Migrationsamt des Kantons Zürich sowie an die Vorinstanz, je gegen Emp- 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w:t>
      </w:r>
    </w:p>
    <w:p>
      <w:r>
        <w:t>- 9 - 1000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20. April 2017 Obergericht des Kantons Zürich I. Zivilkammer Der Gerichtsschreiber: lic. iur. M. Hochuli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