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LE160075 vom 6. März 2017</w:t>
      </w:r>
    </w:p>
    <w:p>
      <w:r>
        <w:t>ZH Obergericht, 2017-03-06, DE</w:t>
      </w:r>
    </w:p>
    <w:p>
      <w:r>
        <w:rPr>
          <w:b/>
        </w:rPr>
        <w:t xml:space="preserve">Quelle: </w:t>
      </w:r>
      <w:r>
        <w:t>https://mcp.opencaselaw.ch/entscheid/zh_obergericht_LE160075</w:t>
      </w:r>
    </w:p>
    <w:p>
      <w:r>
        <w:t>FR: ZH_OBERGERICHT LE160075 du 6 mars 2017</w:t>
      </w:r>
    </w:p>
    <w:p>
      <w:r>
        <w:t>IT: ZH_OBERGERICHT LE160075 del 6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C._____,</w:t>
      </w:r>
    </w:p>
    <w:p>
      <w:r>
        <w:rPr>
          <w:b/>
        </w:rPr>
        <w:t>E. 2</w:t>
      </w:r>
    </w:p>
    <w:p>
      <w:r>
        <w:t>Schriftliche Mitteilung im Berufungsverfahren LE160074 sowie an die Ober- gerichtskasse. Zürich, 6. März 2017 Obergericht des Kantons Zürich I. Zivilkammer Die Gerichtsschreiberin: lic. iur. N.A. Gerber 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