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LE160048 vom 30. August 2016</w:t>
      </w:r>
    </w:p>
    <w:p>
      <w:r>
        <w:t>ZH Obergericht, 2016-08-30, DE</w:t>
      </w:r>
    </w:p>
    <w:p>
      <w:r>
        <w:rPr>
          <w:b/>
        </w:rPr>
        <w:t xml:space="preserve">Quelle: </w:t>
      </w:r>
      <w:r>
        <w:t>https://mcp.opencaselaw.ch/entscheid/zh_obergericht_LE160048</w:t>
      </w:r>
    </w:p>
    <w:p>
      <w:r>
        <w:t>FR: ZH_OBERGERICHT LE160048 du 30 août 2016</w:t>
      </w:r>
    </w:p>
    <w:p>
      <w:r>
        <w:t>IT: ZH_OBERGERICHT LE160048 del 30 agosto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Januar 2016 – 31. August 2016: Fr. 1'724.35, ab 1. September 2016: Fr. 1'964.35.</w:t>
      </w:r>
    </w:p>
    <w:p>
      <w:r>
        <w:rPr>
          <w:b/>
        </w:rPr>
        <w:t>E. 2</w:t>
      </w:r>
    </w:p>
    <w:p>
      <w:r>
        <w:t>Unter Kosten- und Entschädigungsfolge zu Lasten des Appellaten, un- ter Berücksichtigung der unentgeltlichen Rechtspflege des Appellaten.</w:t>
      </w:r>
    </w:p>
    <w:p>
      <w:r>
        <w:rPr>
          <w:b/>
        </w:rPr>
        <w:t>E. 3</w:t>
      </w:r>
    </w:p>
    <w:p>
      <w:r>
        <w:t>a) Die Entscheidgebühr für das Berufungsverfahren ist in Anwen- dung von § 6 Abs. 2 lit. b in Verbindung mit § 6 Abs. 1 und § 5, § 10 und § 12 der Gerichtsgebührenverordnung auf Fr. 1'000.-- festzusetzen. b) Die Gerichtskosten des Berufungsverfahrens sind ausgangsgemäss der Gesuchstellerin aufzuerlegen (Art. 106 Abs. 1 ZPO). c) Die Gesuchstellerin hat ein Gesuch um unentgeltliche Rechtspflege gestellt (Urk. 56 S. 2, S. 7). Dasselbe ist jedoch zufolge Aussichtslosigkeit der Be- rufung (vgl. vorstehende Erwägungen) abzuweisen (Art. 117 lit. b ZPO). d) Für das Berufungsverfahren sind keine Parteientschädigungen zuzu- sprechen, der Gesuchstellerin zufolge ihres Unterliegens, dem Gesuchsgegner mangels relevanter Umtriebe (Art. 95 Abs. 3, Art. 106 Abs. 1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