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LE160022 vom 22. Juni 2016</w:t>
      </w:r>
    </w:p>
    <w:p>
      <w:r>
        <w:t>ZH Obergericht, 2016-06-22, DE</w:t>
      </w:r>
    </w:p>
    <w:p>
      <w:r>
        <w:rPr>
          <w:b/>
        </w:rPr>
        <w:t xml:space="preserve">Quelle: </w:t>
      </w:r>
      <w:r>
        <w:t>https://mcp.opencaselaw.ch/entscheid/zh_obergericht_LE160022</w:t>
      </w:r>
    </w:p>
    <w:p>
      <w:r>
        <w:t>FR: ZH_OBERGERICHT LE160022 du 22 juin 2016</w:t>
      </w:r>
    </w:p>
    <w:p>
      <w:r>
        <w:t>IT: ZH_OBERGERICHT LE160022 del 22 giugno 2016</w:t>
      </w:r>
    </w:p>
    <w:p>
      <w:pPr>
        <w:pStyle w:val="Heading2"/>
      </w:pPr>
      <w:r>
        <w:t>Erwägungen</w:t>
      </w:r>
    </w:p>
    <w:p>
      <w:r>
        <w:rPr>
          <w:b/>
        </w:rPr>
        <w:t>E. 1</w:t>
      </w:r>
    </w:p>
    <w:p>
      <w:r>
        <w:t>Der Gesuchsteller und Berufungskläger (fortan Gesuchsteller) adressierte das eingangs erwähnte Abänderungsbegehren am 12. Januar 2016 an den Prä- sidenten des Bezirksgerichts Meilen (Urk. 1 und 2). Gerichtsintern wurde das Be- gehren einstweilen dem Einzelgericht im summarischen Verfahren zur Behand- lung als Abänderungsverfahren im Eheschutz (fortan Vorinstanz) zugewiesen (Urk. 4). Die Vorinstanz lud am 14. Januar 2016 zur Hauptverhandlung auf den</w:t>
      </w:r>
    </w:p>
    <w:p>
      <w:r>
        <w:rPr>
          <w:b/>
        </w:rPr>
        <w:t>E. 1.1</w:t>
      </w:r>
    </w:p>
    <w:p>
      <w:r>
        <w:t>Gemäss Art. 59 ZPO habe das angerufene Gericht die Prozessvorausset- zungen von Amtes wegen zu prüfen, wozu auch die sachliche Zuständigkeit ge- mäss Art. 59 Abs. 2 lit. b ZPO gehöre. Wenn beim zuständigen Scheidungsgericht ein Scheidungsverfahren rechtshängig gemacht worden sei, so könnten für die Zeit nach Eintritt der Rechtshängigkeit keine Eheschutzmassnahmen mehr ange- ordnet werden, sondern nur noch vorsorgliche Massnahmen während des Schei- dungsverfahrens. Insbesondere entfalle auch die Zuständigkeit des Eheschutzge- richtes zur Abänderung bisheriger Eheschutzmassnahmen. Anordnungen, die das Eheschutzgericht vor Eintritt der Rechtshängigkeit der Scheidung getroffen habe, würden während des Scheidungsverfahrens in Kraft bleiben, solange sie nicht durch vorsorgliche Massnahmen abgeändert würden. Diese für Binnensachver- halte geltende Regel sei gemäss bundesgerichtlicher Rechtsprechung auch in in- ternationalen Verhältnissen massgebend. Sei ein Scheidungsverfahren im Aus- land rechtshängig, so sei die Zuständigkeit der schweizerischen Eheschutzrichte- rin bloss vorbehalten, wenn von vornherein offensichtlich sei, dass ein im Ausland ergangenes Scheidungsurteil in der Schweiz nicht erkannt werden könne (BGE 134 III 326, 328, E.3.2.). Ein schweizerisches Gericht könne zwar bei Vorliegen bestimmter Voraussetzungen trotz Rechtshängigkeit eines ausländischen Schei- dungsverfahrens vorsorgliche Massnahmen nach Massgabe von Art. 10 IPRG treffen. Funktionell handle es sich dabei indessen nicht mehr um ein Eheschutz- verfahren, sondern eben um vorsorgliche Massnahmen (Urk. 28 S. 3 f.).</w:t>
      </w:r>
    </w:p>
    <w:p>
      <w:r>
        <w:rPr>
          <w:b/>
        </w:rPr>
        <w:t>E. 1.2</w:t>
      </w:r>
    </w:p>
    <w:p>
      <w:r>
        <w:t>Es sei unbestritten, dass seit Sommer 2015 in Griechenland ein Schei- dungsverfahren zwischen den Parteien hängig sei. Und es sei von einer positiven Leistungsprognose auszugehen. Aufgrund der Rechtshängigkeit des Scheidungs- verfahrens in Griechenland und der vorliegend positiven Anerkennungsprognose könne somit keine Zuständigkeit des hiesigen Eheschutzgerichts zur Abänderung von Eheschutzmassnahmen bestehen. Daran ändere nichts, dass im griechi-</w:t>
      </w:r>
    </w:p>
    <w:p>
      <w:r>
        <w:t>- 7 - schen Scheidungsverfahren über den Punkt des Kindesunterhalts offenbar gar nicht verhandelt werde. Es läge am Gesuchsteller, ein entsprechendes Gesuch im hängigen griechischen Scheidungsverfahren oder – falls dies nicht möglich sein sollte – in einem separaten Verfahren betreffend Festlegung des Kindesunterhalts anhängig zu machen. Diesfalls könnten im Rahmen vorsorglicher Massnahmen gemäss Art. 10 IPRG die Eheschutzmassnahmen allenfalls sogar von einem schweizerischen Gericht, wenn auch nicht durch das Eheschutzgericht, abgeän- dert werden. Dies unter dem Vorbehalt, dass die spezifischen Voraussetzungen des Art. 10 IPRG erfüllt wären, auf welche in casu nicht näher einzugehen sei. Folglich sei die sachliche Zuständigkeit des hiesigen Eheschutzgerichts zu ver- neinen und es sei auf das Abänderungsbegehren des Gesuchstellers nicht einzu- treten (Urk. 28 S. 4). 2. Der Gesuchsteller macht in der Berufung geltend, dass einerseits sich die Umstände und Verhältnisse seit dem Eheschutzurteil des Bezirksgerichts Win- terthur verändert hätten und dass andrerseits die Vorinstanz ihn falsch informiert habe (Urk. 27 S. 2). Auf die Parteivorbringen ist im Folgenden nur soweit notwen- dig einzugehen.</w:t>
      </w:r>
    </w:p>
    <w:p>
      <w:r>
        <w:rPr>
          <w:b/>
        </w:rPr>
        <w:t>E. 2</w:t>
      </w:r>
    </w:p>
    <w:p>
      <w:r>
        <w:t>Am 9. April 2016 erhob der Gesuchsteller Berufung (Urk. 27). Gleichzeitig machte er Beschwerde gegen die von der Vorinstanz verweigerte unentgeltliche Rechtspflege (separates Verfahren RE160006). Am 2. Juni 2016 reichte der Ge- suchsteller zwei Eingaben und Unterlagen in englischer Sprache ins Recht (Urk. 32a+b, 33/1-3). Sie beschlagen einerseits das Scheidungsverfahren in Grie- chenland (Urk. 32a) und andrerseits wird Stellung genommen zu gegnerischen Eingaben vor Vorinstanz (Urk. 32b). Da sie den Ausgang des vorliegenden Ver- fahrens nicht zu ändern vermögen und zudem die Stellungnahme zu den gegneri- schen Vorbringen verspätet erfolgt (Art. 317 Abs. 1 ZPO), kann auf das Einholen einer deutschen Übersetzung verzichtet werden (Art. 129, 132 Abs. 1 ZPO). Da die Berufung im Hauptpunkt offensichtlich unbegründet ist und die Gesuchsgeg- nerin durch den vorliegenden Entscheid nicht beschwert ist, kann auch auf das Einholen einer Berufungsantwort verzichtet werden (Art. 312 Abs. 1 ZPO).</w:t>
      </w:r>
    </w:p>
    <w:p>
      <w:r>
        <w:rPr>
          <w:b/>
        </w:rPr>
        <w:t>E. 3</w:t>
      </w:r>
    </w:p>
    <w:p>
      <w:r>
        <w:t>Vorab ist festzuhalten, dass die Vorinstanz die rechtlichen Erwägungen zur sachlichen Zuständigkeit, wie sie unter Ziff. 1.1 wiedergegeben werden, korrekt dargelegt hat. Seit Sommer 2015 ist ein von der Gesuchsgegnerin eingeleitetes Scheidungsverfahren in Griechenland hängig (Urk. 12 S. 26), weshalb keine sachliche Zuständigkeit des Eheschutzgerichts für die Abänderung von Ehe- schutzmassnahmen besteht. 4.1 Der Gesuchsteller moniert, das Eheschutzurteil gelte auch nach schweizeri- schem Recht bis zum Erlass des Ehescheidungsurteils. Es werde nirgendwo vor- gesehen, dass die Abänderung des Eheschutzurteils den Erlass des Eheschei- dungsurteils voraussetze (Urk. 27 S. 2). Diese Kritik geht an den vorinstanzlichen Erwägungen vorbei. Die Vorinstanz erwog, dass für die Zeit nach Eintritt der Rechtshängigkeit keine Eheschutzmassnahmen mehr angeordnet werden könn- ten, sondern nur noch vorsorgliche Massnahmen während des Scheidungsverfah- rens. Insbesondere entfalle auch die Zuständigkeit des Eheschutzgerichtes zur</w:t>
      </w:r>
    </w:p>
    <w:p>
      <w:r>
        <w:t>- 8 - Abänderung bisheriger Eheschutzmassnahmen. Dieser Rechtsauffassung ist bei- zupflichten. 4.2 Der Gesuchsteller beanstandet, das "anfängliche Eheschutzurteil" habe nicht über die Verteilung der Vermögenswerte der "Eltern" (wohl der Parteien) entschieden. Die "Mutter" (Gesuchsgegnerin) habe schon durch ihre Antwort auf seinen Antrag neue Themen gestellt, die beigelegt werden müssten, wie z.B. die "während des Ehelebens" erworbenen Vermögenswerte (Urk. 27 S. 2). Im zu be- urteilenden Verfahren geht es um die prozessuale Frage der Zuständigkeit, in- dessen nicht um eine allfällige güterrechtliche Auseinandersetzung, weshalb nicht weiter darauf einzugehen ist. Offenbleiben kann deshalb, ob die Behauptung un- ter novenrechtlichen Gesichtspunkten (Art. 317 Abs. 1 ZPO) zulässig ist. 4.3 Weiter rügt der Gesuchsteller, bevor er seinen Antrag vom 7. Januar 2016 gestellt habe, habe er zweimal mit dem Bezirksgericht Meilen im Rahmen der all- gemeinen Sprechstunde telefoniert und gefragt, ob er seinen Antrag stellen kön- ne. Beim ersten Gespräch habe die nette und hilfsbereite Gerichtsbeamtin ge- sagt, dass sie die Rechtslage zuerst klären müsse. Beim zweiten Telefonat habe sie bestätigt, dass er seinen Antrag um Abänderung des Eheschutzurteils, der sich auf den Unterhalt beziehe, stellen könne. Aufgrund dieser Information habe er sein Gesuch gestellt. Hätte man ihm gesagt, dass sein Antrag aus irgendwel- chen Gründen nicht möglich wäre, hätte er diesen Antrag nie gestellt. Unmittelbar nach Einreichung seines Antrages habe er mit der zuständigen Gerichtsschreibe- rin Kontakt aufgenommen, die bestätigt habe, dass sein Antrag eingegangen sei und fortgesetzt werden könne. Er habe zweimal mit der Gerichtsschreiberin tele- foniert, erstens um zu erfahren, ob er noch Unterlagen nachreichen müsse, und zweitens im Zusammenhang mit der Prozesskostenhilfe. Niemals habe ihn die Gerichtsschreiberin darüber informiert, dass sein Antrag nicht beurteilt werden könne bzw. das Gericht nicht zuständig sei. Wenn er darüber informiert worden wäre, dass die Zuständigkeit des Gerichts unklar sei, hätte er auf seinen Antrag verzichtet. Die Tatsache, dass keine Verhandlung stattgefunden habe, obwohl ein Verhandlungstermin auf den 2. Februar 2016 festgelegt und um Einreichung von Unterlagen gebeten worden sei, zeige die vom Gericht selbst verursachte Verwir-</w:t>
      </w:r>
    </w:p>
    <w:p>
      <w:r>
        <w:t>- 9 - rung, die zu seiner Desinformierung und zu Zeit- und Geldaufwand geführt habe (Urk. 27 S. 4). Nach ständiger Rechtsprechung verleiht der in Art. 52 ZPO verankerte Grundsatz von Treu und Glauben einer Person Anspruch auf Schutz des berechtigten Ver- trauens, sofern eine Vertrauensgrundlage besteht, auf welche die Person, die sich darauf beruft, berechtigterweise vertrauen durfte, sofern sie gestützt darauf nach- teilige Dispositionen getroffen hat, die sie nicht mehr rückgängig machen kann. Eine Vertrauensgrundlage kann sich namentlich aus einer vorbehaltlosen und nicht erkennbar unrichtigen Auskunft einer dafür zuständigen Person in einem konkreten Fall ergeben. Die Rechtsfolge des Vertrauensschutzes ist in erster Li- nie, dass die Behörde an die Vertrauensgrundlage gebunden ist. Es bleibt jedoch abzuwägen, ob ausnahmsweise trotzdem das öffentliche Interesse an der richti- gen Rechtsanwendung dem Vertrauensschutz vorzugehen hat (BGer 2C_502 vom 30. September 2013, Erw. 2.1 m.H.). Auskünfte, die im Rahmen der unentgeltlichen Rechtsauskunft durch die Gerichte erteilt werden, erfolgen stets aufgrund einer vorläufigen, summarischen Prüfung des von der auskunftsersuchenden Person mitgeteilten Sachverhalts. Sie erhe- ben keinen Anspruch auf Vollständigkeit und Verbindlichkeit, weshalb sie von vornherein keine Vertrauensgrundlage bilden können. Aus dem Umstand, dass die Vorinstanz das Verfahren anhand nahm und einen Termin für eine Hauptver- handlung ansetzte, lässt sich schliessen, dass sich die Vorinstanz anfänglich als zuständig erachtet hat. Eine Vorladung stellt einen prozessleitenden Entscheid dar, den die Vorinstanz mit der Abnahme der Vorladung konkludent in Wiederer- wägung gezogen hat. Die Möglichkeit einer Wiedererwägung wurde in der schweizerischen Zivilprozessordnung zwar nicht in allgemeiner Weise statuiert, ihre Zulässigkeit ergibt sich jedoch aus dem Grundsatz der jederzeitigen Abän- derbarkeit prozessleitender Verfügungen (für Beweisverfügungen ausdrücklich Art. 154 Satz 3 ZPO; vgl. OGer ZH RA130008 vom 30.01.2014). Diese Wiederer- wägung ist daher nicht zu beanstanden. Weiter hat die Vorinstanz aufgrund der unklaren bzw. widersprüchlichen Angaben in der Gesuchseingabe vom 7. Januar 2016 (Urk. 1) dem Gesuchsteller Frist angesetzt, um sein Gesuch zu präzisieren.</w:t>
      </w:r>
    </w:p>
    <w:p>
      <w:r>
        <w:t>- 10 - Sie hat dem Gesuchsteller aufgegeben mitzuteilen, "ob er die Abänderung des Eheschutzurteils vom 8. Oktober 2012 durch das Einzelgericht im summarischen Verfahren anbegehrt, oder ob er auch hierorts Klage auf Scheidung erheben und im Rahmen dieser als vorsorgliche Massnahme die Abänderung des Eheschutz- urteils vom 8. Oktober 2012 beantragt." (Urk. 19 S. 3 f.). Die Gesuchsgegnerin hatte in der Stellungnahme vom 4. Februar 2016 das in Griechenland pendente Scheidungsverfahren bestätigt (Urk. 12 S. 4 f.). Dass einem allfälligen Schei- dungsurteil die Anerkennung zu verweigern wäre, wurde nicht geltend gemacht. Zwar kann im Rahmen der Prozessleitung die Rechtslage nicht eingehend geprüft werden und es ist dem Gesuchsteller zu widersprechen, wenn er geltend macht, dass das Gericht von Anfang an hätte wissen müssen, ob es zuständig sei (Urk. 27 S. 4). Allerdings war aufgrund des in Griechenland hängigen Schei- dungsverfahrens fraglich, ob der Gesuchsteller in der Schweiz nochmals Klage auf Scheidung hätte erheben und vorsorgliche Massnahmen anbegehren können. Das Gleiche gilt hinsichtlich der sachlichen Zuständigkeit des Eheschutzgerichts. Der Gesuchsteller war und ist anwaltlich nicht vertreten. Daher hätte die Vo- rinstanz dem Gesuchsteller das rechtliche Gehör zumindest auch explizit in dem Sinne gewähren müssen, um zum von der Gesuchsgegnerin beantragten Nicht- eintreten (Urk. 12 S. 2) Stellung zu nehmen. Diese hat nämlich begründet einge- wendet, dass weder eine Zuständigkeit für vorsorgliche Massnahmen noch eine solche für ein Verfahren betreffend Abänderung Eheschutz bestehe (Urk. 12 S. 5). Die Vorinstanz hat diese Eingabe dem nicht anwaltlich vertretenen Gesuch- steller lediglich zur Kenntnisnahme zugestellt (Urk. 19 S. 4). Im konkreten Fall kommt dies einer Gehörsverletzung gleich, da eine Partei nicht mit einem überra- schenden Verfahrensausgang rechnen muss. Diese Gehörsverletzung kann zwar im Berufungsverfahren geheilt werden, da die Berufungsinstanz Sachverhalt wie Rechtsfrage frei überprüfen kann. Auf das Vorgehen ist jedoch im Rahmen der Kostenfolgen einzugehen. 5.1 In Bezug auf das konkrete Vorgehen erwog die Vorinstanz, dass es am Ge- suchsteller liege, ein entsprechendes Gesuch im hängigen griechischen Schei- dungsverfahren oder – falls dies nicht möglich sein sollte – in einem separaten Verfahren betreffend Festlegung des Kindesunterhalts anhängig zu machen.</w:t>
      </w:r>
    </w:p>
    <w:p>
      <w:r>
        <w:t>- 11 - (gemeint wohl in Griechenland). Diesfalls könnten im Rahmen vorsorglicher Massnahmen gemäss Art. 10 IPRG die Eheschutzmassnahmen allenfalls sogar von einem schweizerischen Gericht, wenn auch nicht durch das Eheschutzge- richt, abgeändert werden (Urk. 28 S. 4). 5.2 Dem hält der Gesuchsteller entgegen, als Bürger dürfe er nicht die Abände- rung des Eheschutzurteils des Bezirksgerichts Winterthur betreffend den Unter- halt vor einem ausländischen (insbesondere griechischen) Gericht beantragen, weil das Urteil von einem schweizerischen Gericht gefällt worden sei. Da die Ge- suchsgegnerin sich entschieden habe, keinen Scheidungsantrag in der Schweiz zu stellen, sondern einen solchen in Griechenland gestellt habe, müsse der Un- terhalt in der Schweiz abgeändert werden. Das Scheidungsurteil des griechischen Gerichts, ausgenommen der Unterhalt, werde bis Ende Mai erwartet, und dieses Urteil werde in der Schweiz anerkannt werden. Der Unterhaltsteil aber müsse in der Schweiz beurteilt werden (Urk. 27 S. 3). 5.3 Der Gesuchsteller ist Staatsangehöriger von und hat Wohnsitz in Griechen- land, die Gesuchsgegnerin ist schweizerisch-griechische Doppelbürgerin und lebt in der Schweiz. Es liegt daher ein internationales Verhältnis im Sinne von Art. 1 Abs. 1 IPRG vor. Zuständigkeit, anwendbares Recht sowie Anerkennung und Vollstreckung bestimmen sich gemäss Art. 1 Abs. 2 IPRG vorab anhand der gel- tenden völkerrechtlichen Verträge, in Ermangelung solcher nach dem IPRG. 5.4 Die internationale Zuständigkeit richtet sich nach dem Übereinkommen über die gerichtliche Zuständigkeit und die Anerkennung und Vollstreckung von Ent- scheidungen in Zivil- und Handelssachen (Lugano-Übereinkommen, LugÜ). Die- ses Abkommen ist für die Schweiz am 1. Januar 2011 und für Griechenland am 1. Januar 2010 in Kraft getreten. Familienrechtliche Streitigkeiten sind gemäss Art. 1 Ziff. 2 lit. a LugÜ grundsätzlich vom Lugano-Übereinkommen ausgenom- men. Eine Ausnahme stellen die Unterhaltssachen dar (vgl. Art. 5 Ziff. 2 LugÜ). Das LugÜ sieht neben dem allgemeinen Gerichtsstand nach Art. 2 Abs. 1 LugÜ einen Gerichtsstand am Wohnsitz oder gewöhnlichen Aufenthaltsort des Unter- haltsberechtigten vor (Art. 5 Ziff. 2 lit. a LugÜ; vgl. auch Dasser/Oberhammer, Kommentar zum Lugano-Übereinkommen [LugÜ], Art. 1 N 69 ff.). Da es sich beim</w:t>
      </w:r>
    </w:p>
    <w:p>
      <w:r>
        <w:t>- 12 - Wohnsitzstaat des Gesuchstellers um einen LugÜ-Vertragsstaat handelt und das unterhaltsberechtigte Kind seinen Wohnsitz bei der Gesuchsgegnerin im Bezirk Meilen hat, ist die Zuständigkeit der Schweizer Gerichte gemäss Art. 5 Ziff. 2 lit. a LugÜ grundsätzlich gegeben. Im Übrigen schliessen die Gerichtsstände des LugÜ die Zuständigkeit des IPRG aus. Das hat zur Folge, dass ein Unterhaltsschuldner nicht an seinem Wohnsitz oder gewöhnlichen Aufenthalt auf Herabsetzung des geschuldeten Unterhaltes (beispielsweise im Sinne von Art. 179 ZGB) klagen kann (Trachsel, Konkurrierende Zuständigkeiten in internationalen Familienrechts- fällen - einige praktische Hinweise, AJP 2003 S. 444, 446). 5.5 Nach Art. 62 Abs. 3 IPRG in Verbindung mit Art. 83 IPRG gilt mit Bezug auf die Kinderunterhaltsbeiträge das Haager Übereinkommen vom 2. Oktober 1973 über das auf die Unterhaltspflicht anzuwendende Recht. Das unterhaltsberechtig- te Kind hat seinen gewöhnlichen Aufenthalt in E._____, weshalb auf die Unter- haltspflicht nach Art. 1 und Art. 4 Abs. 1 des Haager Übereinkommens über das auf die Unterhaltspflicht anzuwendende Recht Schweizer Recht anwendbar wäre. 5.6 Zu fragen ist, in welchem Verfahren die Abänderung zu beantragen wäre. Gemäss Art. 283 Abs. 1 ZPO ist das schweizerische Scheidungsrecht vom Grundsatz der Einheit des Scheidungsurteils beherrscht (vgl. auch BGE 134 III 426 E. 1.2). Im internationalen Verhältnis hindert dieser Grundsatz die schweize- rischen Gerichte nicht, ein ausländisches Scheidungsurteil zu ergänzen, soweit sie mit Blick auf Art. 59 und 60 IPRG zuständig sind. In Bezug auf den Unterhalt würde sich die Ergänzungsklage nach dem im konkreten Fall anwendbaren Luga- no-Übereinkommen richten, d.h. nach Art. 5 Ziff. 2 LugÜ. Auch sind vorsorgliche Massnahmen gestützt auf Art. 62 IPRG im Ergänzungsprozess möglich (vgl. BSK ZGB I-Steck, Art. 120 N 16). Soweit ersichtlich, liegt noch kein rechtskräftiges Scheidungsurteil vor. Der Gesuchsteller hat in seiner Eingabe vom 2. Juni 2016 ausgeführt, dass das griechische Gericht ein Scheidungsurteil gefällt habe, gleichzeitig aber dargelegt, dass er Berufung erhoben habe und dass die Beru- fungsverhandlung auf den 12. Januar 2017 angesetzt sei (Urk. 32 S. 1). Für einen Ergänzungsprozess fehlt es daher bereits an einem rechtskräftigen, lückenhaften</w:t>
      </w:r>
    </w:p>
    <w:p>
      <w:r>
        <w:t>- 13 - Scheidungsurteil. Folglich könnte das Begehren auch nicht in ein Massnahmebe- gehren im Ergänzungsprozess konvertiert werden. 5.7 Scheiden die eherechtlichen Verfahren aus, verbliebe eine selbständige Klage auf Kindesunterhalt, da die Klage auf Abänderung des Unterhalts eine Un- terform der Unterhaltsklage ist (BK ZPO II-Spycher, Art. 295 N 12), welche ge- mäss Art. 295 ZPO im vereinfachten Verfahren (Art. 243 ff. ZPO) zu führen wäre. Diesfalls hätte sich das Begehren indessen gegen die Tochter C._____ als Be- klagte zu richten. Und da Unterhaltsklagen nicht unter den Ausnahmekatalog von Art. 198 ZPO fallen, wäre als erstes ein Schlichtungsverfahren durchzuführen.</w:t>
      </w:r>
    </w:p>
    <w:p>
      <w:r>
        <w:rPr>
          <w:b/>
        </w:rPr>
        <w:t>E. 6</w:t>
      </w:r>
    </w:p>
    <w:p>
      <w:r>
        <w:t>Nach dem Gesagten ist zusammenfassend festzuhalten, dass die angefoch- tene Dispositiv-Ziffer 1 des vorinstanzlichen Entscheids, wonach auf das Gesuch um Abänderung des Kindesunterhalts nicht einzutreten ist, zu bestätigen ist.</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übersteigtt Fr. 30'000.–. Die Beschwerde an das Bundesgericht hat keine aufschiebende Wirkung. Hinsichtlich des Fristenlaufs gelten die Art. 44 ff. BGG. Zürich, 22. Juni 2016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