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LE160004 vom 12. Mai 2016</w:t>
      </w:r>
    </w:p>
    <w:p>
      <w:r>
        <w:t>ZH Obergericht, 2016-05-12, DE</w:t>
      </w:r>
    </w:p>
    <w:p>
      <w:r>
        <w:rPr>
          <w:b/>
        </w:rPr>
        <w:t xml:space="preserve">Quelle: </w:t>
      </w:r>
      <w:r>
        <w:t>https://mcp.opencaselaw.ch/entscheid/zh_obergericht_LE160004</w:t>
      </w:r>
    </w:p>
    <w:p>
      <w:r>
        <w:t>FR: ZH_OBERGERICHT LE160004 du 12 mai 2016</w:t>
      </w:r>
    </w:p>
    <w:p>
      <w:r>
        <w:t>IT: ZH_OBERGERICHT LE160004 del 12 maggio 2016</w:t>
      </w:r>
    </w:p>
    <w:p>
      <w:pPr>
        <w:pStyle w:val="Heading2"/>
      </w:pPr>
      <w:r>
        <w:t>Erwägungen</w:t>
      </w:r>
    </w:p>
    <w:p>
      <w:r>
        <w:rPr>
          <w:b/>
        </w:rPr>
        <w:t>E. 1</w:t>
      </w:r>
    </w:p>
    <w:p>
      <w:r>
        <w:t>Die Parteien sind Eheleute. Aus der Ehe ging der gemeinsame Sohn C._____, geboren tt.mm.2009 hervor. Die Gesuchstellerin und Berufungsklägerin (fortan: Gesuchstellerin) ist selbstständige Änderungsschneiderin und lebt mit C._____ im ehelichen Haus in …. Der Gesuchsgegner ist Hausabwart und wohnt seit der Trennung in einer 2-Zimmer-Wohnung in …. C._____ besucht den Kin- dergarten beim … Zürich, wo die Gesuchstellerin ihr Schneideratelier führt.</w:t>
      </w:r>
    </w:p>
    <w:p>
      <w:r>
        <w:rPr>
          <w:b/>
        </w:rPr>
        <w:t>E. 2</w:t>
      </w:r>
    </w:p>
    <w:p>
      <w:r>
        <w:t>Am 26. Juni 2015 reichte die Gesuchstellerin beim Einzelgericht im summa- rischen Verfahren am Bezirksgericht Affoltern (Vorinstanz) ein Eheschutzgesuch ein. Hinsichtlich des Verfahrensgangs vor Vorinstanz ist vorab auf die Ausführun-</w:t>
      </w:r>
    </w:p>
    <w:p>
      <w:r>
        <w:t>- 14 - gen im vorinstanzlichen Urteil vom 29. Dezember 2015 zu verweisen (Urk. 50 S. 8 ff.). Das vorinstanzliche Urteil vom 29. Dezember 2015 nahm die Gesuchstel- lerin am 21. Januar 2016 in Empfang (Urk. 54).</w:t>
      </w:r>
    </w:p>
    <w:p>
      <w:r>
        <w:rPr>
          <w:b/>
        </w:rPr>
        <w:t>E. 3</w:t>
      </w:r>
    </w:p>
    <w:p>
      <w:r>
        <w:t>Am 1. Februar 2016 erhob die Gesuchstellerin mit den eingangs wiederge- gebenen Anträgen rechtzeitig Berufung (Urk. 61; Beilagen und -verzeichnis: Urk. 63 und 64/2-5). Die Berufungsschrift wurde dem Gesuchsgegner samt Beila- gen am 1. März 2016 – ohne Fristansetzung zur Beantwortung – zur Kenntnis ge- bracht (Urk. 67). Mit Eingabe vom 29. Februar 2016 ersuchte die Gesuchstellerin ausserdem um Gewährung der aufschiebenden Wirkung für ihre Berufung gegen die Regelung des persönlichen Verkehrs (Dispositivziffer 5 des angefochtenen Ur- teils). Dieser Antrag wurde mit Verfügung vom 14. März 2016 abgewiesen (Urk. 66A/B, Urk. 70). Sodann wurde zur Vergleichsverhandlung auf den 27. April 2016 vorgeladen (Urk. 73, Urk. 77 und Urk. 81). Mit Eingabe vom 19. April 2016, hierorts eingegangen am 21. April 2016, ersuchte der Gesuchsgegner um super- provisorische resp. vorsorgliche Vollstreckungsmassnahmen bezüglich des Be- suchsrechts (Urk. 82).</w:t>
      </w:r>
    </w:p>
    <w:p>
      <w:r>
        <w:rPr>
          <w:b/>
        </w:rPr>
        <w:t>E. 4</w:t>
      </w:r>
    </w:p>
    <w:p>
      <w:r>
        <w:t>Die Parteien beantragen der Berufungsinstanz, in Anwendung von Art. 236 Abs. 3 und Art. 343 Abs. 1 ZPO die Gesuchstellerin unter Androhung einer Ordnungsbus- se von Fr. 500.– für jeden nicht erfüllten Besuchsrechtstag anzuweisen, dem Ge- suchsgegner den gemeinsamen Sohn C._____ zu den Zeiten gemäss Ziffer 1 oben zur Betreuung zu überbringen bzw. herauszugeben. Unterhaltsbeiträge 3[5]. Die Parteien vereinbaren, Ziffer 6 bis 8 der Eheschutzkonvention vom 30. Septem- ber 2015, wie folgt abzuändern: "6. Der Gesuchsgegner verpflichtet sich, bis zum 31. Dezember 2015 (Phase 1) für die Kosten des Unterhalts und der Erziehung des gemeinsamen Sohnes sowie für die Gesuchstellerin persönlich einen monatlichen Betrag von insge-</w:t>
      </w:r>
    </w:p>
    <w:p>
      <w:r>
        <w:t>- 17 - samt Fr. 2'752.– zu leisten (Fr. 1'000.– für den Sohn und Fr. 1'752.– für die Gesuchstellerin persönlich; allfällige vertragliche oder gesetzliche Kinderzula- gen sind nicht im obenstehenden Betrag mitenthalten und müssen der Ge- suchstellerin separat überwiesen werden), zahlbar monatlich im Voraus und auf den ersten jeden Monats ab 1. Oktober 2015.</w:t>
      </w:r>
    </w:p>
    <w:p>
      <w:r>
        <w:rPr>
          <w:b/>
        </w:rPr>
        <w:t>E. 7</w:t>
      </w:r>
    </w:p>
    <w:p>
      <w:r>
        <w:t>Der Gesuchsgegner verpflichtet sich, ab 1. Januar 2016 für die weitere Dauer des Getrenntlebens (Phase 2) für die Kosten des Unterhalts und der Erzie- hung des gemeinsamen Sohnes sowie für die Gesuchstellerin persönlich ei- nen monatlichen Betrag von insgesamt Fr. 2'240.– zu leisten (Fr. 1'000.– für den Sohn und Fr. 1'240.– für die Gesuchstellerin persönlich; allfällige vertrag- liche oder gesetzliche Kinderzulagen sind nicht im obenstehenden Betrag mitenthalten und müssen der Gesuchstellerin separat überwiesen werden), zahlbar monatlich im Voraus und auf den ersten jeden Monats.</w:t>
      </w:r>
    </w:p>
    <w:p>
      <w:r>
        <w:rPr>
          <w:b/>
        </w:rPr>
        <w:t>E. 8</w:t>
      </w:r>
    </w:p>
    <w:p>
      <w:r>
        <w:t>Die Unterhaltsbeiträge basieren auf folgenden Bedarfszahlen: Phase 1 (bis 31. Dezember 2015): Bedarf Ehemann Ehefrau Grundbetrag 1'100.– 1'350.– Kinderzuschlag 400.– Miet- bzw. Wohnkosten 750.– 1'658.– Heizung/Nebenkosten 100.– Radio/TV/Telefon 138.– 138.– Krankenkasse 252.– 479.– Krankenkasse C._____ 94.– Arbeitsweg/Auto/ÖV 300.– 300.– Hobbies C._____ 50.– Steuern 140.– 330.– Total Bedarf 2'780.– 4'799.– Einkommen Ehemann: 6'426.– (netto, inkl. 13. Monatslohn, exkl. KZ) Einkommen Ehefrau: 2332.– (netto, exkl. KZ)</w:t>
      </w:r>
    </w:p>
    <w:p>
      <w:r>
        <w:t>- 18 - Phase 2 (ab 1. Januar 2016): Bedarf Ehemann Ehefrau Grundbetrag 1'100.– 1'350.– Kinderzuschlag 400.– Miet- bzw. Wohnkosten 1'658.– 1'658.– Radio/TV/Telefon 138.– 138.– Krankenkasse 252.– 479.– Krankenkasse C._____ 94.– Arbeitsweg/Auto/ÖV 600.– 164.– Hobbies C._____ 50.– Steuern 230.– 230.– Total Bedarf 3'978.– 4'563.– Einkommen Ehemann: 6'426.– (netto, inkl. 13. Monatslohn, exkl. KZ) Einkommen Ehefrau: 2332.– (netto, exkl. KZ)" 4[6]. Die Parteien beantragen der Berufungsinstanz, die einvernehmliche Abänderung von Ziffer 6 bis 8 der Eheschutzkonvention vom 30. September 2015 hinsichtlich des Kinderunterhalts zu genehmigen und im Übrigen davon Vormerk zu nehmen. Kosten und Entschädigung 5[7]. Die Kosten des zweitinstanzlichen Verfahrens werden von den Parteien je zur Hälf- te übernommen. 6[8]. Auf eine Parteientschädigung wird gegenseitig verzichtet." 5. Die Berufung hemmt die Rechtskraft des angefochtenen Urteils nur im Um- fang der Anträge. Vorweg ist daher festzustellen, dass das vorinstanzliche Urteil in den nicht angefochtenen Dispositivziffern 1-3, 4 (teilweise) und 6-12 in Rechts- kraft erwachsen ist.</w:t>
      </w:r>
    </w:p>
    <w:p>
      <w:r>
        <w:t>- 19 - II. 1. Soweit es Kinderbelange (Obhut, persönlicher Verkehr, Kinderunterhaltsbei- träge) zu regeln gilt, findet die Offizial- und Untersuchungsmaxime Anwendung (Art. 296 Abs. 1 ZPO). Daher unterliegt die von den Parteien getroffene Verein- barung im Sinne eines übereinstimmenden Parteiantrages der gerichtlichen Prü- fung und Genehmigung (vgl. ZK-Bräm, N 18 und N 117 zu Art. 176 ZGB). Für die Genehmigung wird vorausgesetzt, dass mit der Vereinbarung das Kindeswohl gewahrt wird. Soweit keine Kinderbelange betroffen sind (persönliche Unterhalts- beiträge, Wohnungszuteilung), mithin die Dispositionsmaxime zum Tragen kommt, ist die Vereinbarung nicht zu prüfen, sondern von dieser bloss Vormerk zu nehmen. 2. Die getroffene Regelung des persönlichen Verkehrs nimmt durch einen schrittweisen Wiederaufbau der Besuche angemessen Rücksicht auf das Interes- se des Kindes und des Vaters an einem persönlichen Umgang miteinander, wel- cher den Vater nicht bloss am Freizeitprogramm, sondern auch am Alltag von C._____ teilhaben lässt. Gleichzeitig ermöglicht die getroffene Stufenlösung, das Vertrauen der Gesuchstellerin in den Gesuchsgegner wiederherzustellen, wel- ches durch die Vorfälle vom 1. Oktober 2015 sowie in der Zeit vor August 2015 – C._____ konnte seinen Vater gemäss eigenen Schilderungen bzw. gemäss den Ausführungen der Gesuchstellerin mehrmals beim Masturbieren beobachten – gestört wurde. Die Stufenlösung dient darüber hinaus auch dem Kindeswohl, in- dem nach dem mehrmonatigen Kontaktunterbruch (seit Oktober 2015) eine Über- forderung von C._____ durch einen sofortigen, ausgedehnten Kontakt vermieden wird. Die für die Zukunft (ab Januar 2017) getroffene Lösung mit einem um den Mittwochnachmittag erweiterten, gerichtsüblichen Besuchsrecht ist sodann ohne Weiteres mit dem Kindeswohl vereinbar, weil unter Verweis auf die Ausführungen in der Verfügung vom 14. März 2016 keine Anhaltspunkte dafür bestehen, dass es zu weiteren Vorfällen kommen wird, bei welchen C._____ seinen Vater beim Onanieren beobachten kann. Die vom Gesuchsgegner in Angriff zu nehmende Sexualtherapie wirkt diesbezüglich zusätzlich vertrauensbildend und sichernd. Die gemeinsam beantragten Vollstreckungsmassnahmen dienen überdies auch dem</w:t>
      </w:r>
    </w:p>
    <w:p>
      <w:r>
        <w:t>- 20 - Kindeswohl, wird dadurch doch sichergestellt, dass das seit Oktober 2015 nicht mehr durchgeführte Besuchsrecht nunmehr wieder regelmässig stattfinden wird. 3. Die vereinbarten Kinderunterhaltsbeiträge von Fr. 1'000.– im Monat erwei- sen sich unter Berücksichtigung der neu von der Gesuchstellerin bei der Aus- gleichskasse zu beantragenden Kinderzulagen von Fr. 200.– im Monat als ausrei- chend und angemessen, um den sich aus der mit den Akten übereinstimmenden Bedarfsrechnung (Ziffer 8 der Konvention) ergebenden Bedarf abzudecken. 4. Mit Bezug auf die vereinbarten persönlichen Unterhaltsbeiträge ist von der Vereinbarung bloss Vormerk zu nehmen. Die Vereinbarung erledigt das Verfahren diesbezüglich sofort. 5. Der Antrag des Gesuchsgegners auf superprovisorische bzw. vorsorgliche Vollstreckungsmassnahmen (Urk. 82) wird mit Genehmigung der Vereinbarung vom 27. April 2016 gegenstandslos und ist ohne Weiterungen abzuschreiben, da damit das vorinstanzliche Besuchsrecht, dessen Vollstreckung beantragt wurde, dahinfällt. Ausserdem sind mit dem vorliegenden Urteil auf gemeinsamen Antrag hin ohnehin Vollstreckungsmassnahmen anzuordnen. 6. Der Antrag der Gesuchstellerin auf Bestellung einer Kindesvertretung für das Berufungsverfahren wird mit dessen Erledigung ebenfalls gegenstandslos und ist abzuschreiben. III. 1. Beide Parteien ersuchten um Bewilligung der unentgeltlichen Rechtspflege und Beigabe eines unentgeltlichen Rechtsbeistandes für das Berufungsverfahren. 2. Eine Person hat Anspruch auf unentgeltliche Rechtspflege, wenn sie mittel- los und ihr Prozessstandpunkt nicht aussichtslos ist (Art. 117 lit. a und b ZPO) und sie zur Wahrung ihrer Interessen auf eine rechtskundige Vertretung angewie- sen ist (Art. 118 Abs. 1 lit. c ZPO). Mittellosigkeit bzw. Bedürftigkeit ist dann zu bejahen, wenn die gesuchstellende Partei trotz Ausschöpfung sämtlicher eigenen</w:t>
      </w:r>
    </w:p>
    <w:p>
      <w:r>
        <w:t>- 21 - Hilfsmittel nicht in der Lage ist, neben dem Lebensunterhalt für sich und ihre Fa- milie auch den Prozess zu finanzieren. Sie beurteilt sich nach der gesamten wirt- schaftlichen Situation des Rechtsuchenden im Zeitpunkt der Einreichung des Ge- suchs. Ein allfälliger Überschuss zwischen dem effektiv zur Verfügung stehenden Einkommen und dem Notbedarf der gesuchstellenden Partei ist mit den für den konkreten Fall zu erwartenden Gerichts- und Anwaltskosten in Beziehung zu set- zen und danach zu fragen, ob die gesuchstellende Partei mit dem ihr verbleiben- den Überschuss in der Lage ist, die anfallenden Gerichts- und Anwaltskosten in- nert angemessener Frist selbst zu finanzieren. Im Sinne einer groben Faustregel geht die Rechtsprechung davon aus, dass der monatliche Überschuss es ihr er- möglichen sollte, die Prozesskosten bei weniger aufwendigen Prozessen innert eines Jahres, bei anderen innert zweier Jahre zu tilgen (Bühler, Die Prozessar- mut, in: Schöbi (Hrsg.), Gerichtskosten, Parteikosten, Prozesskaution, unentgeltli- che Prozessführung: SWR Bd. 3, Bern 2001, S. 182 f. und 185 f.; Meichssner, Das Grundrecht auf unentgeltliche Rechtspflege [Art. 29 Abs. 3 BV]). 3. Die Gesuchstellerin macht zur Begründung ihres Gesuchs einen nachvoll- ziehbaren und aufgrund der vorinstanzlichen Akten bzw. den neu eingereichten Urkunden (Urk. 64/3) ausgewiesenen Bedarf von Fr. 4'757.– geltend (einschliess- lich C._____; Urk. 61 S. 11 f.). Diesem steht ein schwankendes Einkommen aus selbstständiger Tätigkeit von knapp Fr. 2'000.– gegenüber (vgl. Urk. 61 S. 12, Urk. 83 Ziff. 8). Damit ist sie auch unter Berücksichtigung der Unterhaltsansprü- che gegenüber dem Gesuchsgegner offensichtlich mittellos im Sinne von Art. 117 lit. a ZPO. Ihr Rechtsbegehren war ferner nicht aussichtslos (Art. 117 lit. b ZPO). Es ihr deshalb die unentgeltliche Rechtspflege zu bewilligen. Mit der Regelung von persönlichem Verkehr und Unterhalt waren gewichtige Interessen der Ge- suchstellerin betroffen. Sie ist rechtsunkundig und die Gegenpartei war anwaltlich vertreten. Aus diesen Gründen war sie auf anwaltliche Vertretung angewiesen. Es ist ihr mithin die unentgeltliche Rechtsverbeiständung zu bewilligen, in der Zeit bis 5. April 2016 in der Person von Rechtsanwältin lic. iur. X2._____. Am 5. April 2016 "entzog" die Gesuchstellerin Rechtsanwältin X2._____ ihr Mandat, womit sie ihr Misstrauen erklärte. Stattdessen beauftragte sie Rechtsanwalt Dr. iur. X._____ mit der Interessenwahrung (Urk. 74 und 80). Nachdem keine Anzeichen für ein</w:t>
      </w:r>
    </w:p>
    <w:p>
      <w:r>
        <w:t>- 22 - missbräuchliches Verhalten der Gesuchstellerin bestehen, ist ab dem 6. April 2016 anstatt Rechtsanwältin X2._____ Rechtsanwalt X._____ als unentgeltlicher Rechtsbeistand der Gesuchstellerin zu bestellen. 4. Der Gesuchgegner verweist zur Begründung seines Gesuchs auf die vor- instanzlichen Akten. Vor Vorinstanz machte er – unter Verweis auf die Teilverein- barung vom 30. September 2015 – ein Einkommen von Fr. 6'426.– und einen Be- darf von Fr. 3'090.– bis 31. Dezember 2015 und Fr. 4'198.– ab 1. Januar 2016 geltend. Der höhere Bedarf ab Januar 2016 berücksichtigt die vollen Autokosten von Fr. 600.– beim Gesuchsgegner (zuvor je Fr. 300.– beim Gesuchsgegner und der Gesuchstellerin) und höhere Wohnkosten von Fr. 1'658.–. Der Gesuchsgeg- ner ist für die Verrichtung seiner Arbeit als Hausabwart zumindest zeitweise auf ein Auto angewiesen (Prot. I S. 12). Soweit er dieses vereinbarungsgemäss nicht mehr mit der Gesuchstellerin teilt, sind deshalb die vollen Kosten in seinem Be- darf zu berücksichtigen. Ausserdem ist dem Gesuchsgegner im Hinblick auf die Ausübung des vereinbarten Besuchsrechts zuzugestehen, eine grössere Woh- nung zu beziehen, wobei der dafür eingesetzte Betrag vertretbar erscheint. Der Gesuchsgegner verfügt somit unter Berücksichtigung der Unterhaltszahlungen (vgl. Urk. 83), solange er in der alten Wohnung wohnt, über einen kleinen Über- schuss, hernach jedoch vermag er gerade etwa seinen Bedarf zu decken. Insge- samt ist der Gesuchsgegner jedoch nicht in der Lage, die Kosten des Berufungs- verfahrens innerhalb eines Jahres aus seinem Überschuss abzubezahlen. Akten- kundiges Vermögen ist nicht vorhanden. Sodann bemühte sich der Gesuchsgeg- ner vergeblich um die Erhöhung der Hypothek (Urk. 36/3).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