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LE150032 vom 21. Januar 2016</w:t>
      </w:r>
    </w:p>
    <w:p>
      <w:r>
        <w:t>ZH Obergericht, 2016-01-21, DE</w:t>
      </w:r>
    </w:p>
    <w:p>
      <w:r>
        <w:rPr>
          <w:b/>
        </w:rPr>
        <w:t xml:space="preserve">Quelle: </w:t>
      </w:r>
      <w:r>
        <w:t>https://mcp.opencaselaw.ch/entscheid/zh_obergericht_LE150032</w:t>
      </w:r>
    </w:p>
    <w:p>
      <w:r>
        <w:t>FR: ZH_OBERGERICHT LE150032 du 21 janvier 2016</w:t>
      </w:r>
    </w:p>
    <w:p>
      <w:r>
        <w:t>IT: ZH_OBERGERICHT LE150032 del 21 gennaio 2016</w:t>
      </w:r>
    </w:p>
    <w:p>
      <w:pPr>
        <w:pStyle w:val="Heading2"/>
      </w:pPr>
      <w:r>
        <w:t>Erwägungen</w:t>
      </w:r>
    </w:p>
    <w:p>
      <w:r>
        <w:rPr>
          <w:b/>
        </w:rPr>
        <w:t>E. 1</w:t>
      </w:r>
    </w:p>
    <w:p>
      <w:r>
        <w:t>Die Parteien heirateten am tt. Juli 2006 und haben drei gemeinsame Kinder (E._____, geb. tt.mm.2007, F._____, geb. tt.mm.2009, und G._____, geb. tt.mm.2011).</w:t>
      </w:r>
    </w:p>
    <w:p>
      <w:r>
        <w:rPr>
          <w:b/>
        </w:rPr>
        <w:t>E. 2</w:t>
      </w:r>
    </w:p>
    <w:p>
      <w:r>
        <w:t>Seit dem 29. Dezember 2014 stehen die Parteien vor Vorinstanz in einem Eheschutzverfahren (Urk. 1). Sie schlossen anlässlich der Hauptverhandlung vom</w:t>
      </w:r>
    </w:p>
    <w:p>
      <w:r>
        <w:rPr>
          <w:b/>
        </w:rPr>
        <w:t>E. 5</w:t>
      </w:r>
    </w:p>
    <w:p>
      <w:r>
        <w:t>Schriftliche Mitteilung an die Parteien und an das Bezirksgericht Hinwil,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 Hinsichtlich des Fristenlaufs gelten die Art. 44 ff. BGG.</w:t>
      </w:r>
    </w:p>
    <w:p>
      <w:r>
        <w:t>- 18 - Zürich, 21. Januar 2016 Obergericht des Kantons Zürich I. Zivilkammer Die Gerichtsschreiberin lic. iur. J. Freiburghaus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