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LE150011 vom 7. Juli 2015</w:t>
      </w:r>
    </w:p>
    <w:p>
      <w:r>
        <w:t>ZH Obergericht, 2015-07-07, DE</w:t>
      </w:r>
    </w:p>
    <w:p>
      <w:r>
        <w:rPr>
          <w:b/>
        </w:rPr>
        <w:t xml:space="preserve">Quelle: </w:t>
      </w:r>
      <w:r>
        <w:t>https://mcp.opencaselaw.ch/entscheid/zh_obergericht_LE150011</w:t>
      </w:r>
    </w:p>
    <w:p>
      <w:r>
        <w:t>FR: ZH_OBERGERICHT LE150011 du 7 juillet 2015</w:t>
      </w:r>
    </w:p>
    <w:p>
      <w:r>
        <w:t>IT: ZH_OBERGERICHT LE150011 del 7 luglio 2015</w:t>
      </w:r>
    </w:p>
    <w:p>
      <w:pPr>
        <w:pStyle w:val="Heading2"/>
      </w:pPr>
      <w:r>
        <w:t>Erwägungen</w:t>
      </w:r>
    </w:p>
    <w:p>
      <w:r>
        <w:rPr>
          <w:b/>
        </w:rPr>
        <w:t>E. 1</w:t>
      </w:r>
    </w:p>
    <w:p>
      <w:r>
        <w:t>Mit Eingabe vom 18. September 2014 (Urk. 1 samt Beilagen, Urk. 2 und Urk. 3/1–12) machte der Gesuchsteller und Berufungskläger (fortan Gesuch- steller) das vorliegende Eheschutzbegehren gleichentags beim Einzelgericht im summarischen Verfahren im Bezirk Meilen rechtshängig. Dabei stellte er die obengenannten Anträge. Gemäss Eingabe vom 2. Oktober 2014 (Urk. 6 samt Bei- lagen Urk. 7/13–16) vervollständigte der Gesuchsteller – wie mit Verfügung vom 22. September 2014 (Urk. 4) verlangt – das eingangs genannte Gesuch (Urk. 1) und passte die Anträge an (Urk. 6 S. 12 f.). Mit Eingabe vom 27. Oktober 2014 (Urk. 12, samt Beilagen Urk. 13/1–12) nahm die Gesuchsgegnerin und Beru- fungsbeklagte (fortan Gesuchsgegnerin) innert der ihr gemäss Verfügung vom 13. Oktober 2014 angesetzten Frist (Urk. 10) zu den vom Gesuchsteller gemach- ten Anträgen Stellung und stellte dabei ihrerseits die eingangs genannten Rechtsbegehren. In der Folge wurden die Parteien am 3. November 2014 auf den 19. Januar 2015 zur Hauptverhandlung vorgeladen (Urk. 14). Gemäss Schreiben vom 8. Januar 2015 (Urk. 16) reichte die Gesuchsgegnerin unaufgefordert weitere Unterlagen ins Recht (Urk. 17/13-14), welche dem Gesuchsteller zur Kenntnis gebracht wurden (Urk. 18 und 19). Per Fax vom 19. Januar 2015 (Urk. 20) reichte der Gesuchsteller darüber hinaus ebenfalls weitere Unterlagen ins Recht (Urk. 21/17-18). Anlässlich der Hauptverhandlung vom 19. Januar 2015 brachte der Gesuchsteller weitere Unterlagen bei (Urk. 23/17-20). Mit Schreiben vom 26. Januar 2015 verzichteten die minderjährigen Kinder der Parteien, D._____ und C._____, auf entsprechende Anfrage durch das Gericht auf eine Anhörung durch die Eheschutzrichterin (Urk. 26 und Urk. 27). Am 6. Februar 2015 fällte die Vorinstanz den eingangs wiedergegebenen Entscheid (Urk. 31).</w:t>
      </w:r>
    </w:p>
    <w:p>
      <w:r>
        <w:rPr>
          <w:b/>
        </w:rPr>
        <w:t>E. 2</w:t>
      </w:r>
    </w:p>
    <w:p>
      <w:r>
        <w:t>Die Berufungsanträge sind zu beziffern. Das gilt auch betreffend Kin- derunterhaltsbeiträge. Andernfalls ist auf die Berufung nicht einzutreten (BGE 137 III 617). Eine Nachfrist zur Bezifferung ist nicht anzuberaumen. Es genügt jedoch, wenn sich die Bezifferung, wie vorliegend (vgl. Urk. 30 S. 2 i.V.m. S. 13-17), aus der Begründung ergibt.</w:t>
      </w:r>
    </w:p>
    <w:p>
      <w:r>
        <w:rPr>
          <w:b/>
        </w:rPr>
        <w:t>E. 3</w:t>
      </w:r>
    </w:p>
    <w:p>
      <w:r>
        <w:t>Im Berufungsverfahren können neue Tatsachen nur noch berücksich- tigt werden, wenn diese ohne Verzug vorgebracht wurden und wenn sie trotz zu- mutbarer Sorgfalt nicht schon vor erster Instanz vorgebracht werden konnten (Art. 317 Abs. 1 ZPO). Auch in den Verfahren, die der Untersuchungsmaxime unter-</w:t>
      </w:r>
    </w:p>
    <w:p>
      <w:r>
        <w:t>- 9 - stehen, ist Art. 317 Abs. 1 ZPO stets zu beachten. Dies gilt auch bei Verfahren in Kinderbelangen, in denen gemäss Art. 296 Abs. 1 ZPO der Sachverhalt von Am- tes wegen zu erforschen ist (BGE 138 III 626 f. E 2.2). Unechte Noven, die bei zumutbarer Sorgfalt bereits vor erster Instanz hätten geltend gemacht werden können, können daher grundsätzlich nicht mehr vorgebracht werden, es sei denn, eine Partei rüge, die Vorinstanz habe eine bestimmte Tatsache in Verletzung der Untersuchungsmaxime nicht beachtet (F. Hohl, Procédure civile, Tome II, Deu- xième Edition, Bern 2010, Rz. 1214 und 2414 f.). Solche unechten Noven sind im Sinne von Art. 317 Abs. 1 lit. a ZPO ohne Verzug, d.h. mit der Berufungsbegrün- dung bzw. der Berufungsantwort vorzubringen. Nach Berufungsbegründung und - antwort können nur noch echte Noven vorgebracht werden, und zwar längstens bis zum Beginn der Urteilsberatung. Dies gilt auch für Verfahren, die der Untersu- chungsmaxime unterstehen (BGE 138 III 788 E 4.2; F. Hohl, a.a.O., Rz 1172).</w:t>
      </w:r>
    </w:p>
    <w:p>
      <w:r>
        <w:rPr>
          <w:b/>
        </w:rPr>
        <w:t>E. 4</w:t>
      </w:r>
    </w:p>
    <w:p>
      <w:r>
        <w:t>1/2-Zimmerwohnung in F._____ (Urk. 13/1). Auf Seiten des obhutsberechtigten Ehegatten ist im Regelfall von einem Zimmer pro Ehegatte und Kind zuzüglich ei- nem Raum auszugehen. Weniger Zimmer braucht es bei Kleinkindern. Der nicht obhutsberechtigte Ehegatte hat Anspruch auf Wohnkosten für eine Wohnung mit einem Gästezimmer, so dass er das Besuchs- und Ferienbesuchsrecht angemes- sen ausüben kann (Six, Eheschutz, Ein Handbuch für die Praxis, 2. Aufl., Edition Weblaw, Bern 2014, N 2.99). Vor diesem Hintergrund ist namentlich auch das Gleichbehandlungsgebot der Eheleute betreffend den Wohnkomfort vorliegend nicht verletzt.</w:t>
      </w:r>
    </w:p>
    <w:p>
      <w:r>
        <w:t>- 14 - Es bleibt somit bei der Anrechnung von Mietkosten in der Höhe von Fr. 1'330.– ab tt. Juli 2014. Ebenso hat sich die Partnerin des Gesuchstellers hälf- tig an den Kosten für Billag und die Hausratversicherung (nicht auch an den Kos- ten der Haftpflichtversicherung) zu beteiligen. Die vorinstanzlich ab dem tt. Juli 2014 angerechneten diesbezüglichen Beträge über Fr. 19.50 und Fr. 22.– sind daher zu bestätigen (Urk. 31 S. 13, 17 f.). Für das dritte, aussereheliche Kind des Gesuchstellers, geboren am tt. Juli 2014 (Urk. 3/1a, b), veranschlagte die Vorderrichterin in der dritten Phase, mithin ab tt. Juli 2014 einen Betrag von Fr. 650.– (Urk. 31 S. 13, 19). Der Gesuchsteller macht, wie zuletzt auch vor Vorinstanz (vgl. Prot. I S. 8; demgegenüber noch Urk.</w:t>
      </w:r>
    </w:p>
    <w:p>
      <w:r>
        <w:rPr>
          <w:b/>
        </w:rPr>
        <w:t>E. 6</w:t>
      </w:r>
    </w:p>
    <w:p>
      <w:r>
        <w:t>Unterhaltsberechnung Resümiert hat es somit bei den vorinstanzlichen Bedarfs- und Einkommens- zahlen der Parteien sein Bewenden. Auch die vorinstanzliche Freibetragsauftei- lung (3/5 zugunsten der Gesuchsgegnerin als Obhutsinhaberin, 2/5 Gesuchstel- ler; vgl. Urk. 31 S. 22) erweist sich, insbesondere auch mit Blick auf das ausge- dehntere Besuchsrecht des Gesuchstellers, als angemessen (vgl. auch Urk. 31 S. 23; Urk. 36 S. 6). Hingegen ist die vom Gesuchsteller verlangte hälftige Über- schussaufteilung (Urk. 30 S. 4, 13) nicht angebracht, zumal ihm, wie erwähnt, be- reits Anteile an den Kindergrundbeträgen zuerkannt werden. Ein Rechnungsfehler wurde nicht geltend gemacht und ist auch nicht ersichtlich. Die vorinstanzlichen Gesamtunterhaltsbeiträge (vgl. Urk. 31 S. 23) sind daher vollumfänglich zu bestä- tigen. In Übereinstimmung mit der Vorinstanz erscheint dabei sachgerecht, von den Gesamtunterhaltsbeiträgen je Fr. 1'000.– für den Unterhalt der gemeinsamen beiden Kinder auszuscheiden (Urk. 31 S. 24). Wie bereits erörtert, steht solches, mit der Vorinstanz, nicht im Widerspruch zum Grundsatz der Gleichbehandlung aller Kinder. Weil im Bereich der Kinderunterhaltsbeiträge die Offizialmaxime gilt (vgl. Art. 58 Abs. 2 ZPO und Art. 296 Abs. 3 ZPO), ist das Gericht denn auch nicht an die Parteianträge (vgl. Urk. 30 S. 1, 17; Urk. 36 S. 2) gebunden. Wenn der Gesuchsteller sodann (wie im Übrigen bereits vor Vorinstanz, vgl. Urk. 1 S. 3, Antragziffer 6, wobei sich die erste Instanz nicht weiter dazu verneh- men liess und auch keine Anrechnung im Dispositiv vornahm), beantragen lässt, bereits geleistete Unterhaltsbeiträge seien in Anrechnung zu bringen (vgl. Urk. 30 S. 2, 16), ist festzuhalten, dass der Gesuchsteller weder bezifferte noch belegte, in welchem Umfang er bereits a conto Unterhaltsbeiträge bezahlt hat. Es obliegt denn auch nicht dem Berufungsgericht, die Akten nach allfälligen bereits geleiste- ten Unterhaltszahlungen zu durchforschen. Im Übrigen wäre die Unterhaltspflicht im Umfang, in welchem sie bereits erfüllt wurde, untergegangen. Diesbezügliche Weiterungen erübrigen sich somit im vorliegenden Verfahren.</w:t>
      </w:r>
    </w:p>
    <w:p>
      <w:r>
        <w:t>- 22 - Zusammengefasst ist die Berufung des Gesuchstellers nach dem Gesagten abzuweisen und die angefochtenen Dispositivziffern 6 und 7 sind vollumfänglich zu bestätigen. IV. Prozesskostenbeitrag/unentgeltliche Rechtspflege Im Berufungsverfahren ersucht die Gesuchsgegnerin um Verpflichtung des Gesuchstellers zur Leistung eines angemessenen Beitrags an die Prozesskosten. Eventualiter sei ihr die unentgeltliche Prozessführung und Rechtsvertretung zu bewilligen (Urk. 36 S. 2). Auch der Gesuchsteller lässt ein Gesuch um Gewährung der unentgeltlichen Rechtspflege im Berufungsverfahren stellen (Urk. 30 S. 2).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Die Mittellosigkeit wird gemeinhin dann bejaht, wenn der Auf- wand des notwendigen Lebensunterhalts (sog. "zivilprozessualer Notbedarf") das massgebliche Einkommen übersteigt bzw. aus der Differenz nur ein kleiner Über- schuss resultiert, welcher es dem Gesuchsteller nicht erlauben würde, die Pro- zesskosten innert nützlicher Frist zu bezahlen. Ein allfälliger Überschuss zwi- schen dem Einkommen und dem Zwangsbedarf ist mit den im konkreten Fall zu erwartenden Gerichts- und Anwaltskosten zu vergleichen. Der monatliche Über- schuss sollte es dabei möglich machen, die Prozesskosten bei weniger aufwendi- gen (d.h. kostspieligen) Prozessen innert eines Jahres und in den anderen Fällen innert zwei Jahren zu tilgen. Die Gewährung der unentgeltlichen Rechtspflege hängt damit massgeblich auch von der Höhe der zu erwartenden Verfahrenskos- ten ab (Emmel, in: Sutter-Somm/Hasenböhler/Leuenberger, ZPO Komm., 2. Aufl. 2013, Art. 117 N 12 mit Hinweisen). Der Anspruch auf unentgeltliche Rechtspfle- ge ist zum Prozesskostenvorschuss/-beitrag unter Eheleuten gestützt auf die ehe- liche Beistandspflicht (vgl. Art. 159 Abs. 3 ZGB) subsidiär.</w:t>
      </w:r>
    </w:p>
    <w:p>
      <w:r>
        <w:t>- 23 - Mit Blick auf die Einkommens- und Bedarfszahlen der Parteien, wobei, wie erwähnt, die laufenden Steuern unberücksichtigt blieben, sowie die geschuldeten Unterhaltsbeiträge ist die einkommensmässige Mittellosigkeit beider Parteien ausgewiesen. Dies im Übrigen auch unter Berücksichtigung des Nebenverdiens- tes des Gesuchstellers (vgl. Urk. 7/14; Prot. I S. 2). Über nennenswerte Vermö- genswerte verfügen die Parteien nicht (vgl. Urk. 3/12; Urk. 7/14 S. 4; Urk. 7/16; Urk. 13/7-9; Urk. 17/13, 14; Urk. 23/19-20; Urk. 23/20). Ihre Prozessstandpunkte (insbesondere auch jener des Gesuchstellers) können zudem nicht als zum vorn- herein aussichtslos bezeichnet werden. Überdies waren beide Parteien auf an- waltlichen Beistand angewiesen. Somit ist der Antrag der Gesuchsgegnerin auf Verpflichtung des Gesuchstel- lers zur Leistung eines (angemessenen) Prozesskostenbeitrages für das Beru- fungsverfahren abzuweisen, sofern darauf, mangels Bezifferung, überhaupt ein- zutreten ist, und es ist beiden Parteien auch im Berufungsverfahren die unentgelt- liche Prozessführung und Rechtsvertretung zu bewilligen. V. Kosten- und Entschädigungsfolgen 1. Wie dargetan, blieb die erstinstanzliche Regelung der Kosten- und Ent- schädigungsfolgen unangefochten. 2. Im Berufungsverfahren sind die Kosten ausgangsgemäss dem unter- liegenden Gesuchsteller aufzuerlegen, jedoch zufolge der ihm zu gewährenden unentgeltlichen Prozessführung einstweilen auf die Gerichtskasse zu nehmen, un- ter Vorbehalt der Nachzahlungspflicht (Art. 118 Abs. 1 lit. b ZPO; Art. 123 ZPO). Entsprechend ist der Gesuchsteller zu verpflichten, der Gesuchsgegnerin für das Berufungsverfahren eine volle Parteientschädigung zu bezahlen. Diese ist auf Fr. 3'000.–, antragsgemäss zuzüglich Fr. 240.– (8 %) Mehrwertsteuern (vgl. Urk. 36 S. 2), festzulegen (vgl. § 5 Abs. 1, § 6 Abs. 3, § 11 Abs. 1 und 2; § 13 Abs. 1 und 2 AnwGebV). Da die Parteientschädigung voraussichtlich uneinbringlich ist, zumal auch der Gesuchsteller im Armenrecht prozessiert, ist sie der Rechtsvertre-</w:t>
      </w:r>
    </w:p>
    <w:p>
      <w:r>
        <w:t>- 24 - terin der Gesuchsgegnerin aus der Gerichtskasse zu bezahlen, unter Legalzessi- on des Anspruchs gegenüber dem Gesuchsteller auf den Kanton (Art. 122 Abs. 2 ZPO). Die Gerichtsgebühr ist in der vorliegenden noch als einfach zu bezeichnen- den Streitigkeit auf Fr. 3'000.– festzusetzen (§ 5 Abs. 1, § 6 Abs. 2 lit. b, § 12 Abs. 1 und 2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