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LE140077 vom 6. Januar 2015</w:t>
      </w:r>
    </w:p>
    <w:p>
      <w:r>
        <w:t>ZH Obergericht, 2015-01-06, DE</w:t>
      </w:r>
    </w:p>
    <w:p>
      <w:r>
        <w:rPr>
          <w:b/>
        </w:rPr>
        <w:t xml:space="preserve">Quelle: </w:t>
      </w:r>
      <w:r>
        <w:t>https://mcp.opencaselaw.ch/entscheid/zh_obergericht_LE140077</w:t>
      </w:r>
    </w:p>
    <w:p>
      <w:r>
        <w:t>FR: ZH_OBERGERICHT LE140077 du 6 janvier 2015</w:t>
      </w:r>
    </w:p>
    <w:p>
      <w:r>
        <w:t>IT: ZH_OBERGERICHT LE140077 del 6 gennaio 2015</w:t>
      </w:r>
    </w:p>
    <w:p>
      <w:pPr>
        <w:pStyle w:val="Heading2"/>
      </w:pPr>
      <w:r>
        <w:t>Erwägungen</w:t>
      </w:r>
    </w:p>
    <w:p>
      <w:r>
        <w:rPr>
          <w:b/>
        </w:rPr>
        <w:t>E. 1</w:t>
      </w:r>
    </w:p>
    <w:p>
      <w:r>
        <w:t>a) Die Parteien sind seit tt. November 1995 (Urk. 1) oder 1998 (Urk. 14 S. 3) verheiratet; sie haben einen Sohn, geboren tt.mm.1994 (Urk. 1). Am 14. Mai 2014 reichte die Klägerin beim Bezirksgericht Bülach (Vorinstanz) ein Gesuch um Eheschutz ein (Urk. 1). An der vorinstanzlichen Hauptverhandlung vom 4. September 2014 nahmen beide Parteien teil (Vi-Prot. S. 3). Eine zusätzliche Ver- gleichsverhandlung am 12. September 2014 endete ohne Ergebnis (Vi-Prot. S. 24). Am 24. November 2014 regelte die Vorinstanz das Getrenntleben der Partei- en mit dem eingangs wiedergegebenen Urteil (Urk. 25 = Urk. 28).</w:t>
      </w:r>
    </w:p>
    <w:p>
      <w:r>
        <w:t>- 4 - b) Hiergegen hat der Beklagte mit undatierter, am 9. Dezember 2014 zur (…) Post gegebener Eingabe fristgerecht Berufung erhoben und die vorstehend wiedergegebenen Berufungsanträge gestellt (Urk. 27). c) Die vorinstanzlichen Akten wurden beigezogen. Da sich die Berufung sogleich als unbegründet bzw. unzulässig erweist, kann auf die Einholung einer Berufungsantwort verzichtet werden (Art. 312 Abs. 1 ZPO).</w:t>
      </w:r>
    </w:p>
    <w:p>
      <w:r>
        <w:rPr>
          <w:b/>
        </w:rPr>
        <w:t>E. 2</w:t>
      </w:r>
    </w:p>
    <w:p>
      <w:r>
        <w:t>Der Beklagte verlangt eine Fristverlängerung zur Einreichung einer verbesserten Berufung, falls seine Anträge abgelehnt würden (Berufungs-Ziffer 1.6). Die Frist zur Einreichung der Berufung ist eine vom Gesetz selbst festge- setzte Frist (Art. 314 Abs. 1 ZPO) und für eine solche gesetzliche Frist ist eine Verlängerung nicht möglich (Art. 144 Abs. 1 ZPO). Ohnehin kann einer Partei nicht zum Voraus – bevor darüber entschieden wurde – mitgeteilt werden, dass ihr Rechtsstandpunkt nicht oder nicht genügend begründet ist, sondern dies hat mit dem entsprechenden Endentscheid zu geschehen.</w:t>
      </w:r>
    </w:p>
    <w:p>
      <w:r>
        <w:rPr>
          <w:b/>
        </w:rPr>
        <w:t>E. 3</w:t>
      </w:r>
    </w:p>
    <w:p>
      <w:r>
        <w:t>a) Gemäss Art. 311 Abs. 1 ZPO ist die Berufung bei der Rechtsmit- telinstanz schriftlich und begründet einzureichen. Aus der Berufungsschrift muss hervorgehen, dass und weshalb der Rechtsuchende einen Entscheid anficht und inwieweit dieser geändert oder aufgehoben werden soll. In der Berufungsschrift sind somit konkrete Rechtsmittelanträge zu stellen (worauf schon in der Rechts- mittelbelehrung des angefochtenen Entscheides hingewiesen wurde). Diese sind so zu formulieren, dass sie bei Gutheissung zum Urteil erhoben werden können. Auf Geldzahlung (oder -nichtzahlung) gerichtete Anträge sind sodann genau zu beziffern (BGE 137 III 617). Auch bei einem juristischen Laien kann und muss so- dann verlangt werden, dass aus den Berufungsanträgen hinreichend klar hervor- geht, was er genau will. Werden keine oder nur ungenügende Berufungsanträge gestellt, ist auf die Berufung nicht einzutreten. b) Die Berufungsschrift des Beklagten enthält keine solchen Anträge. Es ist offensichtlich, dass der Beklagte der Klägerin weniger bezahlen will, aber we- der aus den Anträgen noch aus der Begründung wird klar, wieviel weniger er zu bezahlen bereit ist, oder ob er die Unterhaltspflicht eventuell ganz aufgehoben</w:t>
      </w:r>
    </w:p>
    <w:p>
      <w:r>
        <w:t>- 5 - haben will. Aus dem Verlangen, dass die Einkommen beider Parteien "auf einen normalen Level" angehoben bzw. abgesenkt werden sollen (Berufungs-Ziffern 1.0 und 1.1), lässt sich nicht ableiten, welches Einkommen als "normal" erachtet wird. Das Gleiche gilt bezüglich des Verlangens, die Übergangsfrist für die Klägerin "auf ein normales Mass" zu verkürzen (Berufungs-Ziffer 1.3). Unzulässig ist auch die Stellung von sich gegenseitig ausschliessenden Alternativbegehren ("entwe- der [...] oder aber [...]"; Berufungs-Ziffer 1.2); zulässig wäre diesbezüglich die Stel- lung von Haupt- und Eventualbegehren. Auch hinsichtlich der Verteilung der vor- instanzlichen Prozesskosten geht aus der Berufung nicht hervor, welche Kosten- verteilung der Beklagte erreichen will; die Formulierung "zu Gunsten des Beklag- ten korrigiert" lässt dies offen (Berufungs-Ziffer 1.4). Ebenso unbestimmt ist das Verlangen, dass das Einkommen des Beklagten für die Monate Mai bis Septem- ber "neu berechnet wird" (Berufungs-Ziffer 1.5). c) Nach dem Gesagten kann daher auf die Berufung des Beklagten nicht eingetreten werden.</w:t>
      </w:r>
    </w:p>
    <w:p>
      <w:r>
        <w:rPr>
          <w:b/>
        </w:rPr>
        <w:t>E. 4</w:t>
      </w:r>
    </w:p>
    <w:p>
      <w:r>
        <w:t>a) Die zweitinstanzliche Entscheidgebühr ist in Anwendung von § 6 Abs. 2 lit. b in Verbindung mit § 6 Abs. 1, § 5 und § 12 der Gerichtsgebührenver- ordnung auf Fr. 1'000.– festzusetzen. b) Die Gerichtskosten des Berufungsverfahrens sind ausgangsgemäss dem unterliegenden Beklagten aufzuerlegen (Art. 106 Abs. 1 ZPO). c) Für das Berufungsverfahren sind keine Parteientschädigungen zuzu- sprechen, der Klägerin mangels relevanter Umtriebe, dem Beklagten zufolge sei- nes Unterliegens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