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LE140071 vom 3. Dezember 2014</w:t>
      </w:r>
    </w:p>
    <w:p>
      <w:r>
        <w:t>ZH Obergericht, 2014-12-03, DE</w:t>
      </w:r>
    </w:p>
    <w:p>
      <w:r>
        <w:rPr>
          <w:b/>
        </w:rPr>
        <w:t xml:space="preserve">Quelle: </w:t>
      </w:r>
      <w:r>
        <w:t>https://mcp.opencaselaw.ch/entscheid/zh_obergericht_LE140071</w:t>
      </w:r>
    </w:p>
    <w:p>
      <w:r>
        <w:t>FR: ZH_OBERGERICHT LE140071 du 3 décembre 2014</w:t>
      </w:r>
    </w:p>
    <w:p>
      <w:r>
        <w:t>IT: ZH_OBERGERICHT LE140071 del 3 dicembre 2014</w:t>
      </w:r>
    </w:p>
    <w:p>
      <w:pPr>
        <w:pStyle w:val="Heading2"/>
      </w:pPr>
      <w:r>
        <w:t>Erwägungen</w:t>
      </w:r>
    </w:p>
    <w:p>
      <w:r>
        <w:rPr>
          <w:b/>
        </w:rPr>
        <w:t>E. 1</w:t>
      </w:r>
    </w:p>
    <w:p>
      <w:r>
        <w:t>a) Die Parteien sind seit tt. Juli 2002 verheiratet. Sie haben zwei Kinder (geboren tt.mm.2002 und tt.mm.2005). Am 7. Mai 2014 ging beim Bezirks- gericht Dietikon (Vorinstanz) ein Eheschutzbegehren der Gesuchstellerin ein (Urk. 1). Am 15. Mai 2014 lud die Vorinstanz die Parteien auf den 1. Juli 2014 zur</w:t>
      </w:r>
    </w:p>
    <w:p>
      <w:r>
        <w:t>- 4 - Hauptverhandlung vor (Urk. 3). Zur Hauptverhandlung ist der Gesuchsgegner nicht erschienen (Vi-Prot. S. 3). Am 8. Juli 2014 fällte die Vorinstanz das eingangs wiedergegebene Urteil (Urk. 8), welches auf Begehren des Gesuchsgegners (Urk. 11) nachträglich begründet wurde (Urk. 12 = Urk. 15). b) Hiergegen hat der Gesuchsgegner mit Eingabe vom 10. November 2014 (zur Post gegeben am 12. November 2014) rechtzeitig Berufung mit den eingangs wiedergegebenen Berufungsanträgen erhoben (Urk. 14). c) Der Eingang der Berufung wurde der Gesuchstellerin mitgeteilt, mit dem Hinweis, dass sie einstweilen nichts vorzukehren habe (Urk. 16). Gleichwohl hat die Gesuchstellerin für das Berufungsverfahren Rechtsanwältin lic. iur. X._____ mandatiert und ein Gesuch um unentgeltliche Rechtspflege gestellt (Urk. 17). d) Die vorinstanzlichen Akten wurden beigezogen. Da sich die Berufung sogleich als unbegründet bzw. unzulässig erweist, kann auf die Einholung einer Berufungsantwort verzichtet werden (Art. 322 Abs. 1 ZPO).</w:t>
      </w:r>
    </w:p>
    <w:p>
      <w:r>
        <w:rPr>
          <w:b/>
        </w:rPr>
        <w:t>E. 2</w:t>
      </w:r>
    </w:p>
    <w:p>
      <w:r>
        <w:t>a) Mit der Berufung können unrichtige Rechtsanwendung und un- richtige Feststellung des Sachverhalts geltend gemacht werden (Art. 310 ZPO). In der Berufungsschrift müssen die Behauptungen bestimmt und vollständig aufge- stellt werden. In der Berufungsbegründung muss erklärt werden, weshalb der erstinstanzliche Entscheid in den angefochtenen Punkten unrichtig sein soll; die Berufung muss sich dementsprechend mit den Entscheidgründen der Vorinstanz auseinandersetzen. Das Obergericht muss sodann die geltend gemachten Punkte prüfen; das Obergericht muss dagegen nicht von sich aus den erstinstanzlichen Entscheid auf andere Mängel untersuchen, wenn diese nicht beanstandet wer- den, solange der Sachverhalt nicht geradezu willkürlich festgestellt oder das Recht geradezu willkürlich angewandt worden ist und diese Fehlerhaftigkeiten klar zutage treten (Sutter-Somm/Hasenböhler/Leuenberger [Hrsg.], Kommentar zur Schweizerischen Zivilprozessordnung, 2.A. 2013, N 36 zu Art. 311 ZPO).</w:t>
      </w:r>
    </w:p>
    <w:p>
      <w:r>
        <w:t>- 5 - b1) Die Vorinstanz erwog, die Vorladung zur Hauptverhandlung sei dem Gesuchsgegner am 26. Mai 2014 mit dem klaren Hinweis auf die Säumnisfolgen zugestellt worden. Zur Hauptverhandlung sei der Gesuchsgegner unentschuldigt nicht erschienen, weshalb ihn die angedrohten Säumnisfolgen treffen würden (Urk. 15 S. 3). b2) Der Gesuchsgegner macht in seiner Berufung geltend, die Gesuchstel- lerin habe ihm gesagt, sie werde die Klage zurücknehmen, und deswegen sei er nicht an den Gerichtstermin "gegangen" (Urk. 14 S. 1). b3) Solange ein Verhandlungstermin vom Gericht nicht abgesagt oder wi- derrufen wird, müssen die Parteien davon ausgehen, dass dieser Termin (weiter- hin) besteht, und den Termin wahrnehmen. Vorliegend macht der Gesuchsgegner nicht geltend, dass die Vorinstanz ihm mitgeteilt hätte, die Hauptverhandlung vom 1. Juli 2014 finde nicht statt. Dementsprechend durfte der Gesuchsgegner – un- abhängig von allfälligen, ohnehin nicht belegten, Aussagen der Gesuchstellerin – nicht davon ausgehen, dass die Hauptverhandlung nicht stattfinden würde, und war er daher zum Erscheinen verpflichtet. Dass er tatsächlich an der Hauptver- handlung nicht erschienen ist, hat der Gesuchsgegner selber eingeräumt. Die vor- instanzliche Feststellung, dass der Gesuchsgegner unentschuldigt nicht zur Hauptverhandlung erschienen sei, ist demnach zutreffend. c1) Die Vorinstanz erwog, gemäss Art. 175 ZGB sei ein Ehegatte berech- tigt, den gemeinsamen Haushalt für solange aufzuheben, als seine Persönlichkeit, seine wirtschaftliche Sicherheit oder das Wohl der Familie ernstlich gefährdet sei. Daraus folge, dass das Eheschutzgericht sich auf die Prüfung zu beschränken habe, ob der Trennungswille gefestigt bzw. unverrückbar sei. Vorliegend sei der gefestigte Trennungswille der Gesuchstellerin aufgrund von deren Ausführungen anzunehmen. Deshalb sei festzustellen, dass die Parteien seit dem 1. Juli 2014 zum Getrenntleben berechtigt seien (Urk. 15 S. 4). c2) Der Gesuchsgegner macht in seiner Berufung im Wesentlichen gel- tend, die Gesuchstellerin wolle sich einzig wegen der zur Zeit schwierigen finanzi- ellen Situation trennen. In der Ehe habe man sich aber auch in schwierigen Zeiten</w:t>
      </w:r>
    </w:p>
    <w:p>
      <w:r>
        <w:t>- 6 - beizustehen. Für die schwierige finanzielle Situation seien beide Parteien verant- wortlich; er mit Sicherheit mehr, die Gesuchstellerin aber auch. Die Kredite hätten sie nicht wegen seiner Schulden aufgenommen, sondern weil sie ein Haus in Bos- nien und ein Auto in der Schweiz gekauft hätten. Der wahre Grund für den Tren- nungswunsch der Gesuchstellerin sei, dass sie die Freiheit wolle; sie wolle regel- mässig in den Ausgang gehen, an Partys, in Shopping-Zentren, Restaurants etc. Zum Wohl der Familie sei daher der Entscheid der Vorinstanz vollumfänglich auf- zuheben (Urk. 14 S. 1 f.). c3) Der Gesuchsgegner stellt damit nicht in Frage, dass die Gesuchstelle- rin tatsächlich einen gefestigten Trennungswillen hat. Ebensowenig stellt er in Frage, dass gestützt auf diesen gemäss dem Gesetz ein Anspruch auf Trennung (und gerichtliche Regelung der entsprechenden Folgen) besteht. Und schliesslich wird auch das Datum der Trennung nicht beanstandet. Die Feststellung der Vor- instanz, dass die Parteien seit dem 1. Juli 2014 zum Getrenntleben berechtigt seien, ist daher zu bestätigen. d1) Die Vorinstanz hat sodann das Getrenntleben geregelt (Obhutszutei- lung, Besuchsrecht, Zuteilung der ehelichen Wohnung, Kinderunterhaltsbeiträge etc.; oben S. 2). Für die entsprechenden Erwägungen kann auf den angefochte- nen Entscheid verwiesen werden (Urk. 15 S. 5-15). d2) Der Gesuchsgegner stellt hinsichtlich dieser Folgen des Getrenntle- bens keine konkreten Anträge und auch aus der Berufungsbegründung wird nicht klar, was er diesbezüglich erreichen will: Es wird nicht klar, ob er die Zuteilung der Obhut über die beiden Kinder an ihn erreichen will, ob er mit dem Besuchsrecht nicht einverstanden ist, ob er eine andere Wohnungszuteilung erreichen will, ob er mit der Höhe der Unterhaltsbeiträge nicht einverstanden ist und welche Höhe er stattdessen als angemessen erachten würde, etc. etc. Der Gesuchsgegner setzt sich in seiner Berufung denn auch mit keinem Wort mit den diesbezüglichen Er- wägungen der Vorinstanz auseinander. Insoweit kann daher auf die Berufung nicht eingetreten werden.</w:t>
      </w:r>
    </w:p>
    <w:p>
      <w:r>
        <w:t>- 7 - e) Nach dem Gesagten ist daher die Berufung des Gesuchsgegners ab- zuweisen, soweit darauf einzutreten ist, und das angefochtene Urteil zu bestäti- gen (Art. 318 Abs. 1 lit. a ZPO).</w:t>
      </w:r>
    </w:p>
    <w:p>
      <w:r>
        <w:rPr>
          <w:b/>
        </w:rPr>
        <w:t>E. 3</w:t>
      </w:r>
    </w:p>
    <w:p>
      <w:r>
        <w:t>a) Für das Berufungsverfahren ist von einer nicht vermögensrechtli- chen Streitigkeit auszugehen. Die zweitinstanzliche Entscheidgebühr ist in An- wendung von § 6 Abs. 2 lit. b in Verbindung mit § 6 Abs. 1, § 5 und § 12 der Ge- richtsgebührenverordnung auf Fr. 1'000.– festzusetzen. b) Die Gerichtskosten des Berufungsverfahrens sind ausgangsgemäss dem unterliegenden Gesuchsgegner aufzuerlegen (Art. 106 Abs. 1 ZPO). c) Da der Gesuchstellerin keine Kosten aufzuerlegen sind, ist deren Ge- such um unentgeltliche Rechtspflege als gegenstandslos abzuschreiben. Deren Gesuch um Bestellung einer unentgeltlichen Rechtsbeiständin ist abzuweisen, da eine solche für das Berufungsverfahren zur Wahrung der Rechte nicht notwendig war (vgl. Art. 118 Abs. 1 lit. a ZPO). d) Für das Beschwerdeverfahren sind keine Parteientschädigungen zuzu- sprechen, der Gesuchstellerin mangels relevanter notwendiger Umtriebe, dem Gesuchsgegner zufolge des Unterliegens (Art. 95 Abs. 3,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