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LE140047 vom 21. Januar 2015</w:t>
      </w:r>
    </w:p>
    <w:p>
      <w:r>
        <w:t>ZH Obergericht, 2015-01-21, DE</w:t>
      </w:r>
    </w:p>
    <w:p>
      <w:r>
        <w:rPr>
          <w:b/>
        </w:rPr>
        <w:t xml:space="preserve">Quelle: </w:t>
      </w:r>
      <w:r>
        <w:t>https://mcp.opencaselaw.ch/entscheid/zh_obergericht_LE140047</w:t>
      </w:r>
    </w:p>
    <w:p>
      <w:r>
        <w:t>FR: ZH_OBERGERICHT LE140047 du 21 janvier 2015</w:t>
      </w:r>
    </w:p>
    <w:p>
      <w:r>
        <w:t>IT: ZH_OBERGERICHT LE140047 del 21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März 2011 leben die Parteien getrennt. b) Am 12. August 2011 reichte der Ehemann beim Grundgericht Pancevo, Serbien, eine Scheidungsklage ein. Mit Urteil vom 24. Oktober 2012 schied die- ses die Ehe der Parteien, stellte die Tochter E._____ unter die elterliche Sorge der Ehefrau, überliess den persönlichen Verkehr zum Ehemann der gegenseiti- gen Absprache und verpflichtete den Ehemann zur Zahlung von Kindesunterhalt in der Höhe von Fr. 1'000.– pro Monat (Urk. 73/1-2). Die Ehefrau wusste nichts von diesem serbischen Verfahren. c) Am 31. August 2012 machte die Ehefrau, Klägerin und Berufungsbeklagte (nachfolgend: Klägerin) bei der Vorinstanz das vorliegende Eheschutzverfahren anhängig (Urk. 1). Mit superprovisorischer Verfügung vom 18. April 2013 ordnete die Vorinstanz die Fremdplatzierung der Tochter E._____ an (Urk. 31). Im Übri- gen kann hinsichtlich des erstinstanzlichen Verfahrensgangs auf die Ausführun- gen der Vorinstanz verwiesen werden (E. I). Am 2. Juli 2014 fällte diese folgenden Entscheid (Urk. 101 = Urk. 108): "1. Es wird festgestellt, dass die Parteien zum Getrenntleben berechtigt sind, und es wird davon Vormerk genommen, dass sie seit 1. März 2011 getrennt leben.</w:t>
      </w:r>
    </w:p>
    <w:p>
      <w:r>
        <w:rPr>
          <w:b/>
        </w:rPr>
        <w:t>E. 2</w:t>
      </w:r>
    </w:p>
    <w:p>
      <w:r>
        <w:t>Die Obhut (über) das Kind[es] E._____, geboren am tt.mm.1999, wird den Eltern ab 17. April 2013 entzogen, und die bereits angeordnete Fremdplatzierung wird beibehalten.</w:t>
      </w:r>
    </w:p>
    <w:p>
      <w:r>
        <w:rPr>
          <w:b/>
        </w:rPr>
        <w:t>E. 3</w:t>
      </w:r>
    </w:p>
    <w:p>
      <w:r>
        <w:t>Auf eine Regelung des Besuchsrechts wird verzichtet.</w:t>
      </w:r>
    </w:p>
    <w:p>
      <w:r>
        <w:rPr>
          <w:b/>
        </w:rPr>
        <w:t>E. 4</w:t>
      </w:r>
    </w:p>
    <w:p>
      <w:r>
        <w:t>Die errichtete Beistandschaft nach Art. 308 Abs. 2 ZGB bleibt weiterhin bestehen. Es werden der Beiständin folgende Aufgaben übertragen:</w:t>
      </w:r>
    </w:p>
    <w:p>
      <w:r>
        <w:t>- 3 - − Überwachung der Fremdplatzierung von E._____, − E._____ als Ansprechperson zur Verfügung zu stehen, − E._____ in Bezug auf die Kontaktnahme mit den Eltern und der Ausbildungs- wahl zu unterstützen, − sowie bei Bedarf weitere Massnahmen zu beantragen.</w:t>
      </w:r>
    </w:p>
    <w:p>
      <w:r>
        <w:rPr>
          <w:b/>
        </w:rPr>
        <w:t>E. 5</w:t>
      </w:r>
    </w:p>
    <w:p>
      <w:r>
        <w:t>Der Beklagte wird verpflichtet, Unterhaltsbeiträge an die Kosten des Unterhalts und der Erziehung des Kindes E._____ wie folgt zu bezahlen: − In der Phase I bis zum 16. April 2013 Fr. 1'176.–, zahlbar an die Klägerin mo- natlich im Voraus, jeweils auf den Ersten eines jeden Monats, rückwirkend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