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LE140002 vom 4. Juni 2014</w:t>
      </w:r>
    </w:p>
    <w:p>
      <w:r>
        <w:t>ZH Obergericht, 2014-06-04, DE</w:t>
      </w:r>
    </w:p>
    <w:p>
      <w:r>
        <w:rPr>
          <w:b/>
        </w:rPr>
        <w:t xml:space="preserve">Quelle: </w:t>
      </w:r>
      <w:r>
        <w:t>https://mcp.opencaselaw.ch/entscheid/zh_obergericht_LE140002</w:t>
      </w:r>
    </w:p>
    <w:p>
      <w:r>
        <w:t>FR: ZH_OBERGERICHT LE140002 du 4 juin 2014</w:t>
      </w:r>
    </w:p>
    <w:p>
      <w:r>
        <w:t>IT: ZH_OBERGERICHT LE140002 del 4 giugno 2014</w:t>
      </w:r>
    </w:p>
    <w:p>
      <w:pPr>
        <w:pStyle w:val="Heading2"/>
      </w:pPr>
      <w:r>
        <w:t>Erwägungen</w:t>
      </w:r>
    </w:p>
    <w:p>
      <w:r>
        <w:rPr>
          <w:b/>
        </w:rPr>
        <w:t>E. 1</w:t>
      </w:r>
    </w:p>
    <w:p>
      <w:r>
        <w:t>Die Parteien sind seit tt.mm.2007 verheiratet und haben einen Sohn, C._____, geboren am tt.mm.2007. Seit 1. September 2012 leben sie getrennt. Mit Eingabe vom 6. Juni 2013 machte der Gesuchsteller und Berufungskläger (fortan Gesuchsteller) ein Eheschutzverfahren vor Vorinstanz anhängig (Urk. 1). Anlässlich der Hauptverhandlung vom 22. Oktober 2013 schlossen die Parteien eine Teilvereinbarung (Urk. 27), welche mit Urteil vom 23. Dezember 2013 genehmigt resp. vorgemerkt wurde. Überdies entschied die Vorinstanz die strittigen Punkte des Getrenntlebens, namentlich die Unterhaltsbeiträge an die Gesuchsgegnerin und Berufungsbeklagte (fortan Gesuchsgegnerin) sowie die Kostenfolgen (Urk. 37 S. 6 ff; 39 S. 6 ff.).</w:t>
      </w:r>
    </w:p>
    <w:p>
      <w:r>
        <w:t>- 6 -</w:t>
      </w:r>
    </w:p>
    <w:p>
      <w:r>
        <w:rPr>
          <w:b/>
        </w:rPr>
        <w:t>E. 1.1</w:t>
      </w:r>
    </w:p>
    <w:p>
      <w:r>
        <w:t>Die Vorinstanz setzte die Entscheidgebühr auf Fr. 4'800.– fest (Urk. 39 S. 23). Die Festsetzung der Gerichtskosten blieb unangefochten.</w:t>
      </w:r>
    </w:p>
    <w:p>
      <w:r>
        <w:rPr>
          <w:b/>
        </w:rPr>
        <w:t>E. 1.2</w:t>
      </w:r>
    </w:p>
    <w:p>
      <w:r>
        <w:t>Die Gerichtsgebühr für das Berufungsverfahren ist in Anwendung von § 12 Abs. 1 und 2 in Verbindung mit §§ 2, 5 und 6 Abs. 2 lit. b der Gerichtsgebührenverordnung des Obergerichts vom 8. September 2010 (GebV OG, LS 211.11) auf Fr. 3'000.– festzusetzen. 2. Die Prozesskosten werden den Parteien nach Massgabe ihres Unterliegens und Obsiegens auferlegt (Art. 106 Abs. 2 ZPO). Der Gesuchsteller obsiegt mit seiner Berufung zu rund zwei Dritteln, die Gesuchsgegnerin zu einem Drittel, im erstinstanzlichen Verfahren aufgrund des Ausgangs des Berufungsverfahrens liegt neu hälftiges Obsiegen und Unterliegen vor. Ausgangsgemäss sind daher den Parteien die Kosten des erstinstanzlichen Verfahrens je zur Hälfte, diejenigen des Berufungsverfahrens zu zwei Dritteln der Gesuchsgegnerin, zu einem Drittel dem Gesuchsteller aufzuerlegen. Für das Berufungsverfahren hat die Gesuchsgegnerin dem Gesuchsteller eine reduzierte Parteientschädigung im Umfang von einem Drittel zu leisten. Die Parteientschädigungen für das erstinstanzliche Verfahren sind wettzuschlagen. 3. In Anwendung von §§ 2, 5 und 6 Abs. 3 und 11 Abs. 1 sowie 13 Abs. 1 und 2 der Verordnung über die Anwaltsgebühren (AnwGebV, LS 215.3) ist die volle Parteientschädigung für das Berufungsverfahren auf Fr. 3'000.– festzusetzen und die Gesuchsgegnerin zu verpflichten, diese im reduzierten Umfang von Fr. 1'000.– (1/3), zuzüglich Fr. 80.– Mehrwertsteuer an den Gesuchsteller zu leisten.</w:t>
      </w:r>
    </w:p>
    <w:p>
      <w:r>
        <w:t>- 17 - Es wird beschlossen:</w:t>
      </w:r>
    </w:p>
    <w:p>
      <w:r>
        <w:rPr>
          <w:b/>
        </w:rPr>
        <w:t>E. 2</w:t>
      </w:r>
    </w:p>
    <w:p>
      <w:r>
        <w:t>Der Gesuchsteller rügt mit seiner Berufung zunächst, die Vorinstanz habe mit ihrer Berechnungsart der Unterhaltsbeiträge (Berechnung erweiterter Notbedarf und Teilung des Freibetrages) das Recht willkürlich angewendet. Mit dieser Berechnung sei die Gesuchsgegnerin in der Lage, sich einen weit höheren Lebensstandard als während des Zusammenlebens zu leisten und eine Sparquote zu bilden. Die beweispflichtige Gesuchsgegnerin habe mit keinem Wort erwähnt, dass der bereits um die Positionen Auto, Krankenkassenzusatzversicherung, Freizeit, Hobby, Gesundheitskosten und Steuern erweiterte Notbedarf nicht dem während der Ehe gelebten Lebensstandard entspreche (Urk. 38 S. 6 ff., 13 f.).</w:t>
      </w:r>
    </w:p>
    <w:p>
      <w:r>
        <w:rPr>
          <w:b/>
        </w:rPr>
        <w:t>E. 2.1</w:t>
      </w:r>
    </w:p>
    <w:p>
      <w:r>
        <w:t>Der Gesuchsteller lässt ausführen, die Gesuchsgegnerin habe weder behauptet noch glaubhaft dargelegt, dass sie für die Finanzierung ihres bisherigen Lebensstandards nebst der Freibetragsaufteilung auch noch Anspruch auf den hälftigen Bonus habe. Es sei während der Ehe gespart worden. So habe der Gesuchsteller die auf seiner Liegenschaft lastende Hypothek regelmässig amortisiert (Urk. 38 S. 8) und es sei in die Eigentumswohnung, deren Einrichtung und in die beiden Fahrzeuge der Parteien investiert worden. Die Sparquote während der 5 Ehejahre belaufe sich auf mindestens Fr. 2'601.– pro Monat (Urk. 38 S. 11). Somit sei die Berechnung im angefochtenen Entscheid verfehlt. Neben dem Überschuss sei auch der Bonus, welcher jährlich zwischen rund Fr. 15'000.– bis Fr. 20'000.– betragen könne, nicht unter den Parteien aufzuteilen (Urk. 38 S. 11 f., 16).</w:t>
      </w:r>
    </w:p>
    <w:p>
      <w:r>
        <w:rPr>
          <w:b/>
        </w:rPr>
        <w:t>E. 2.2</w:t>
      </w:r>
    </w:p>
    <w:p>
      <w:r>
        <w:t>Die Gesuchsgegnerin bestritt - wie bereits vor Vorinstanz - die Vermögensdarstellung des Gesuchstellers, da sie weitgehend unbelegt sei. Wolle man dennoch darauf abstellen, ergebe sich, dass keine Ersparnisse angehäuft, sondern Substanz verbraucht worden sei. Die Parteien hätten zunehmend einen höheren Lebensstandard gepflegt, wozu auch gehört habe, dass sie sich zwei neue Fahrzeuge der Mittelklasse gegönnt hätten, deren Anschaffung nicht als Investition im Sinne einer Ersparnis gelten könne, da ihr Verkehrswert unmittelbar mit Ingebrauchnahme massiv sinke (Urk. 47 S. 6 ff., Prot. I S. 4 ff.).</w:t>
      </w:r>
    </w:p>
    <w:p>
      <w:r>
        <w:rPr>
          <w:b/>
        </w:rPr>
        <w:t>E. 3</w:t>
      </w:r>
    </w:p>
    <w:p>
      <w:r>
        <w:t>Jeder Ehegatte hat während bestehender Ehe - bei genügend vorhandenen Mitteln - Anspruch auf die Weiterführung des vor der Trennung gelebten Lebensstandards (gebührender Unterhalt, Art. 163 ZGB). Die von der Vorinstanz für die Berechnung der Unterhaltsbeiträge angewendete zweistufige Methode zeitigt gemäss Praxis der Kammer auch bei Parteien mit gehobenem Lebensstandard sachgerechte Ergebnisse (ZR 91/92 Nr. 22), sofern bei der Freibetragsaufteilung darauf geachtet wird, dass die zuletzt gelebte</w:t>
      </w:r>
    </w:p>
    <w:p>
      <w:r>
        <w:t>- 8 - Lebenshaltung nicht überschritten wird, da dies die obere Grenze des durch Unterhalt zu deckenden gebührenden Bedarfs darstellt. Es ist dem Gesuchsteller insofern beizupflichten, als dem vom Bundesgericht festgelegten Grundsatz Rechnung zu tragen ist, wonach Unterhaltsbeiträge nicht zu einer Vermögensbildung führen dürfen, durch welche die güterrechtliche Auseinandersetzung in einem allfälligen späteren Scheidungsverfahren teilweise vorweg genommen würde (vgl. statt vieler BGE 115 II 424 E. 3, 121 I 97 E. 3b., 134 III 577 E. 3). Wird dies berücksichtigt, ist gegen die von der Vorinstanz angewandte Überschussmethode zur Ermittlung des Unterhalts somit im Grundsatz nichts einzuwenden. Dies gilt umso mehr, als bei einem (unbestrittenen) Gesamteinkommen vom Fr. 13'044.– (Urk. 38 S. 15, 47 S. 5) keine ausgesprochen günstige, aber doch gute finanzielle Verhältnisse vorliegen. Überdies ist es zulässig, den eigentlichen Notbedarf der Ehegatten unter diesen Umständen um verschiedene, über den existentiellen Bedarf hinausgehende Positionen zu erweitern, sofern der zugesprochene Unterhaltsbeitrag die Höhe des bisherigen Lebensstandards nicht übersteigt respektive eine allfällige Sparquote in Abzug gebracht wird.</w:t>
      </w:r>
    </w:p>
    <w:p>
      <w:r>
        <w:rPr>
          <w:b/>
        </w:rPr>
        <w:t>E. 3.1</w:t>
      </w:r>
    </w:p>
    <w:p>
      <w:r>
        <w:t>Die Gesuchsgegnerin hat den von ihr gelebten Lebensstandard vor der Trennung glaubhaft zu machen. Mit Ausnahme des Hinweises auf die beiden Fahrzeuge, auf welche nachstehend bei der Ermittlung der Sparquote eingegangen wird, fehlen indes konkrete Behauptungen der Gesuchsgegnerin dazu, worin ihr über dem erweiterten Bedarf und der Beteiligung am Freibetrag liegender Lebensstandard bestehe. Zwar bezifferte sie ihren Bedarf im Einzelnen,</w:t>
      </w:r>
    </w:p>
    <w:p>
      <w:r>
        <w:t>- 14 - wies vor Vorinstanz aber gleichzeitig darauf hin, dass dieser gerade nicht ihrem Lebensstandard entspreche (vgl. Prot. I S. 7). Aus den Akten ergeben sich ebenfalls keine sachdienlichen Hinweise. Schliesslich lässt auch der angefochtene Entscheid Ausführungen dazu vermissen. Der pauschale Hinweis auf die Überlegungen zur Aufteilung des Freibetrages (Urk. 39 S. 18) reicht jedenfalls für die Begründung eines Anspruches auf hälftige Teilung des Bonus nicht aus, muss doch zunächst anhand eines von der Unterhaltsberechtigten glaubhaft gemachten Lebensstandards konkret ermittelt werden, in welchem betragsmässigen Umfang eine Beteiligung am variablem Lohnbestandteil zu erfolgen hat, um dem Eingriff in eine allfällige Sparquote vorzubeugen. Mit Blick auf die Vorbringen der Gesuchsgegnerin und die vorliegende Aktenlage fehlt es somit an der Glaubhaftmachung eines Lebensstandards der Gesuchsgegnerin, welcher durch den ihr zugesprochenen monatlichen Unterhaltsbeitrag nicht gedeckt ist.</w:t>
      </w:r>
    </w:p>
    <w:p>
      <w:r>
        <w:rPr>
          <w:b/>
        </w:rPr>
        <w:t>E. 3.2</w:t>
      </w:r>
    </w:p>
    <w:p>
      <w:r>
        <w:t>Diese Auffassung wird denn auch durch die vom Gesuchsteller glaubhaft zu machende Sparquote gestützt: Im Zeitpunkt des Eheschlusses im März 2007 ist der Vermögensstand der Parteien im Umfang von Fr. 308'520.– ausgewiesen (Fr. 274'526.– Gesuchsteller, Fr. 33'994.– Gesuchsgegnerin, Urk. 22/1, 3/14, 24/5). Der ebenfalls geltend gemachte Bargeldbetrag von Fr. 13'413.– (Urk. 3/14) ist mangels hinreichender Belege nicht zu berücksichtigen (Urk. 24/5). Keine Stütze in den Akten und somit ebenfalls keine Berücksichtigung finden sodann die für die Folgejahre in der Aufstellung des Gesuchstellers angeführten Vermögenswerte, welche als "nicht aufgeführt auf Wertschriftenverzeichnis" bezeichnet und bestritten sind (Urk. 22/1, Prot. I S. 5, Urk. 47 S. 6 f.). Aus der eingereichten Steuererklärung 2012 ergibt sich ein bewegliches Vermögen der Parteien im Trennungsjahr 2012 von Fr. 138'569.– (Urk. 18/8, 3/21). Zuzüglich ihrer Sparguthaben zur 3. Säule im Betrag von insgesamt Fr. 58'870.– (Urk. 3/21) beläuft sich ihr belegtes Gesamtvermögen per Ende 2012 auf Fr. 197'439.– (Urk. 3/21). Dem Vermögensrückgang zwischen Eheschluss im März 2007 und Ende 2012 von insgesamt Fr. 111'081.– (Fr. 308'520.– ./. 197'439.–) stehen glaubhafte</w:t>
      </w:r>
    </w:p>
    <w:p>
      <w:r>
        <w:t>- 15 - Investitionen von Fr. 230'800.– gegenüber (Fr. 45'600.– Kaufpreis VW Passat [Urk. 3/16], Fr. 100'000.– Anzahlung Stockwerkeigentum [Urk. 38 S. 9, 47 S. 7], Fr. 50'000.– Restzahlung Stockwerkeigentum [Urk. 38 S. 10, 47 S. 8], Fr. 35'200.– Kaufpreis VW Golf [Urk. 3/17]), welche als vermögensbildend zu qualifizieren sind. In diesem Umfang erfolgte somit eine Vermögensverschiebung, kein -verzehr, weshalb die Investitionen zum Vermögen hinzurechnen sind. Dazu gehören praxisgemäss und entgegen der Ansicht der Gesuchsgegnerin auch die beiden Autokäufe. Obwohl zutrifft, dass der Verkehrswert der Fahrzeuge kurz nach Ingebrauchnahme überproportional sinkt (Urk. 47 S. 9), ändert dies nichts an deren güterrechtlichen Relevanz. Die bestrittenen Investitionen in die Liegenschaft der Parteien aber (Urk. 38 S. 10, 47 S. 8, 22/1) sind im Einzelnen nicht belegt, setzen sich nach Angaben des Gesuchstellers im Wesentlichen aus Ausgaben für Unterhalt und Sanierung (Urk. 3/18+19) oder Einkauf von Gebrauchsmaterial (Urk. 3/15) zusammen und sind bei der Bestimmung der Sparquote vorliegend nicht zu berücksichtigen. Insgesamt ist somit glaubhaft, dass seit der Heirat bis zum Zeitpunkt des Getrenntlebens der Parteien Vermögen von rund Fr. 120'000.– (vermögensbildende Investitionen von Fr. 230'800.– ./. Vermögensrückgang von Fr. 111'081.–) gebildet wurde, mithin durchschnittlich Fr. 22'000.– pro Jahr (Fr. 120'000.– : 65 Monate x 12 Monate). Im letzten Jahr des Zusammenlebens fiel die Sparquote jedoch geringer aus, steht doch der Vermögensreduktion zwischen Ende 2011 bis Ende 2012 von rund Fr. 24'000.– (Vermögensstand 2011: Fr. 221'435.– [Fr. 176'983.– bewegliches Vermögen, Urk. 8, + Sparen 3. Säule Fr. 44'452.–, 3/21, 22/1] ./. Vermögensstand 2012: Fr. 197'439.–) eine Investition von Fr. 35'200.– (Kaufpreis VW Golf, Urk. 3/17) gegenüber, woraus sich Ersparnisse von lediglich rund Fr. 11'000.– ergeben. Die jährliche Sparquote der Parteien ist aufgrund der kurzen Beurteilungsdauer unter Einbezug der gesamten Ehedauer, indes unter Gewichtung der zuletzt gelebten Verhältnisse vor der Trennung (vgl. BGE 134 III 577 E. 8) auf Fr. 20'000.– zu reduzieren, was in etwa der Höchsterwartung der zusätzlichen, variablen Salärauszahlung an den Gesuchsteller entspricht (Fr. 15'000.– bis Fr. 20'000.– pro Jahr, Urk. 3/8 Ziff. 2.1, 38 S. 16). Folglich besteht auch unter diesem Gesichtspunkt kein Anspruch der</w:t>
      </w:r>
    </w:p>
    <w:p>
      <w:r>
        <w:t>- 16 - Gesuchsgegnerin auf einen Anteil am variablen Saläranteil des Gesuchstellers, würde doch andernfalls eine Vermögensverschiebung und damit eine im Eheschutzverfahren nicht statthafte Vorwegnahme der güterrechtlichen Auseinandersetzung erfolgen. 4. In diesem Umfang ist die Berufung demnach gutzuheissen. IV.</w:t>
      </w:r>
    </w:p>
    <w:p>
      <w:r>
        <w:rPr>
          <w:b/>
        </w:rPr>
        <w:t>E. 4</w:t>
      </w:r>
    </w:p>
    <w:p>
      <w:r>
        <w:t>Bedarf Gesuchsgegnerin und C._____</w:t>
      </w:r>
    </w:p>
    <w:p>
      <w:r>
        <w:rPr>
          <w:b/>
        </w:rPr>
        <w:t>E. 4.1</w:t>
      </w:r>
    </w:p>
    <w:p>
      <w:r>
        <w:t>Die Vorinstanz setzte den monatlichen Bedarf der Gesuchsgegnerin und des gemeinsamen Sohnes auf Fr. 5'847.– fest. Dabei berücksichtigte sie unter anderem die Positionen "Laufende Gesundheit" (Fr. 150.–), "Krankenkasse (VVG)" (Fr. 24.–), "Auto" (Fr. 300.– allg. Autokosten, Fr. 54.– Motorfahrzeugversicherung, Fr. 33.– Strassenverkehrsabgabe) und "Hobbies" (Fr. 160.– Fitness und Diverses, Fr. 50.– Hobby C._____) und setzte für die Steuern Fr. 485.– ein (Urk. 39 S. 7 f.).</w:t>
      </w:r>
    </w:p>
    <w:p>
      <w:r>
        <w:rPr>
          <w:b/>
        </w:rPr>
        <w:t>E. 4.2</w:t>
      </w:r>
    </w:p>
    <w:p>
      <w:r>
        <w:t>Der Gesuchsteller will die aufgeführten, den Bedarf erweiternden Positionen (mit Ausnahme der Steuern) nur dann im Bedarf akzeptieren, wenn von der Freibetrags- und Bonusaufteilung abgesehen werde. Werde mit der Vorinstanz die zweistufige Methode angewandt, seien aus dem Bedarf der Parteien die gemäss Kreisschreiben des Obergerichts vom 16. September 2009 nicht zum Existenzminimum gehörenden Positionen zu streichen, so namentlich</w:t>
      </w:r>
    </w:p>
    <w:p>
      <w:r>
        <w:t>- 9 - die Kosten für Amortisation, Strom, Kommunikation, Gesundheitskosten, Motorfahrzeugversicherung, Strassenverkehrsabgabe, Autokosten, Fitness-Abo, Hobbies von C._____ sowie Freizeit und Diverses. Der solcherart gekürzte Bedarf der Gesuchsgegnerin belaufe sich auf Fr. 5'124.–, derjenige des Gesuchstellers auf Fr. 5'278.– (Urk. 38 S. 13 ff., Prot. I S. 3 f.).</w:t>
      </w:r>
    </w:p>
    <w:p>
      <w:r>
        <w:rPr>
          <w:b/>
        </w:rPr>
        <w:t>E. 4.3</w:t>
      </w:r>
    </w:p>
    <w:p>
      <w:r>
        <w:t>Der Gesuchsteller ficht somit weder Bestand noch Höhe der von der Vorinstanz im Bedarf der Gesuchsgegnerin festgesetzten Bedarfspositionen an, sondern rügt einzig deren Anrechnung (Urk. 38 S. 14). Die Kosten für die Zusatzversicherung der Krankenkasse (Fr. 24.–) und die Motorfahrzeugversicherung des VW Passat der Gesuchsgegnerin (Fr. 54.–) sind überdies ausgewiesen (Urk. 18/12, 3/25). Es ist somit glaubhaft, dass die fraglichen Auslagen vor der Trennung tatsächlich angefallen sind und somit dem gelebten Standard der Parteien entsprechen. Angesichts ihrer finanziellen Verhältnisse ist der Gesuchsgegnerin zuzugestehen, auch während des Getrenntlebens Ausgaben im geltend gemachten Umfang zu tätigen, sind diese doch aufgrund ihres Charakters als monatliche Konsumkosten gerade nicht vermögensbildend. Der von der Vorinstanz der Bedarfsberechnung der Gesuchsgegnerin zugrunde gelegte erweiterte Bedarf von Fr. 5'847.– ist vor diesem Hintergrund korrekt (Urk. 39 S. 8).</w:t>
      </w:r>
    </w:p>
    <w:p>
      <w:r>
        <w:rPr>
          <w:b/>
        </w:rPr>
        <w:t>E. 5</w:t>
      </w:r>
    </w:p>
    <w:p>
      <w:r>
        <w:t>Bedarf Gesuchsteller</w:t>
      </w:r>
    </w:p>
    <w:p>
      <w:r>
        <w:rPr>
          <w:b/>
        </w:rPr>
        <w:t>E. 5.1</w:t>
      </w:r>
    </w:p>
    <w:p>
      <w:r>
        <w:t>Der Gesuchsteller bemängelt unter diesem Titel, im angefochtenen Entscheid sei in seinem Bedarf in willkürlicher Weise die von der Gegenseite nicht bestrittene indirekte Amortisation von monatlich Fr. 500.– für die Hypothek unberücksichtigt geblieben (Urk. 38 S. 12).</w:t>
      </w:r>
    </w:p>
    <w:p>
      <w:r>
        <w:rPr>
          <w:b/>
        </w:rPr>
        <w:t>E. 5.2</w:t>
      </w:r>
    </w:p>
    <w:p>
      <w:r>
        <w:t>Unter dem 4. März 2010 schlossen die Parteien als Darlehensnehmer einen Darlehensvertrag mit der Zürcher Kantonalbank (Urk. 3/4 S. 2 f.). Sie sind somit gemeinsam die Hypothekarschuld und damit auch die daraus resultierende Verpflichtung zur indirekten Amortisation vor Aufhebung des gemeinsamen Haushalts eingegangen. Es trifft denn auch zu, dass die Gesuchsgegnerin, welche mit dem gemeinsamen Sohn die Eigentumswohnung bewohnt, von der</w:t>
      </w:r>
    </w:p>
    <w:p>
      <w:r>
        <w:t>- 10 - Erfüllung der Schuldpflicht aus dem Darlehensvertrag direkt profitiert, da diese der Aufrechterhaltung des Hypothekarkredits dient (Urk. 38 S. 13, BGE 5A_244/2012 vom 10. September 2012). Hieraus aber ableiten zu wollen, die Amortisationsrate in Form einer Einlage in die Säule 3a des Gesuchstellers müsse als Mehrbelastung im Grundbedarf des Gesuchstellers berücksichtigt werden, hiesse letztlich, die Gesuchsgegnerin indirekt an der Äufnung von Güterrecht des Gesuchstellers zu beteiligen, fiele doch der ihr zustehende angemessene Unterhaltsbeitrag dadurch geringer aus. Während aber dem Gesuchsteller am Säule 3a-Guthaben ein Anspruch aus Güterrecht zusteht, hat die Gesuchsgegnerin nach Eintritt der Gütertrennung keine solchen Ansprüche. Insofern dient die Amortisation nicht gleichermassen den Interessen beider Parteien (vgl. auch BGE 127 III 289, Hausheer/Spycher, Handbuch des Unterhaltsrechts, 2. A., Bern 2010, N. 02.44). Es erscheint daher sachgerecht, den Gesuchsteller für die Bezahlung der vermögensbildenden Beiträge an die indirekte Amortisation auf den Freibetrag zu verweisen. Eine Anrechnung in dessen Bedarf unterblieb somit im angefochtenen Entscheid zu Recht (Urk. 39 S. 10).</w:t>
      </w:r>
    </w:p>
    <w:p>
      <w:r>
        <w:rPr>
          <w:b/>
        </w:rPr>
        <w:t>E. 6</w:t>
      </w:r>
    </w:p>
    <w:p>
      <w:r>
        <w:t>Unterhaltsberechnung</w:t>
      </w:r>
    </w:p>
    <w:p>
      <w:r>
        <w:rPr>
          <w:b/>
        </w:rPr>
        <w:t>E. 6.1</w:t>
      </w:r>
    </w:p>
    <w:p>
      <w:r>
        <w:t>Die Vorinstanz ermittelte einen Freibetrag von Fr. 1'721.– (Summe der Einkommen der Parteien von Fr. 13'044.– [Fr. 10'660.– Gesuchsteller, Fr. 2'384.– Gesuchsgegnerin] abzüglich der Summe des Bedarfs der Parteien von Fr. 11'323.– [Fr. 5'476.– Gesuchsteller, Fr. 5'847.– Gesuchsgegnerin]). Diesen Freibetrag teilte sie im Umfang von Fr. 947.– (55 %) der Gesuchsgegnerin zu, da ihr die Obhut des gemeinsamen Sohnes zufalle, im Restbetrag dem Gesuchsteller, da ihm aufgrund der vereinbarten Besuchsrechtsregelung einen über das gerichtsübliche Mass hinausgehender Betreuungsaufwand treffe. Entsprechend errechnete sie einen Unterhaltsanspruch der Gesuchsgegnerin von Fr. 4'410.– (gerundet), welchen sie ihr im Umfang von Fr. 1'800.– zuzüglich Kinderzulagen für den gemeinsamen Sohn, im Restbetrag von Fr. 2'610.– für sich persönlich zusprach (Urk. 39 S. 16 ff.).</w:t>
      </w:r>
    </w:p>
    <w:p>
      <w:r>
        <w:t>- 11 -</w:t>
      </w:r>
    </w:p>
    <w:p>
      <w:r>
        <w:rPr>
          <w:b/>
        </w:rPr>
        <w:t>E. 6.2</w:t>
      </w:r>
    </w:p>
    <w:p>
      <w:r>
        <w:t>Der Gesuchsteller rügt in diesem Zusammenhang, der erweiterte Bedarf der Gesuchsgegnerin entspreche bereits ihrem bisherigen Lebensstandard. Gegenteiliges habe auch die Gesuchsgegnerin im vorinstanzlichen Verfahren nicht geltend gemacht (Urk. 38 S. 7 f.). Werde bei der Unterhaltsbemessung daher von einem erweiterten Bedarf ausgegangen, habe die Gesuchsgegnerin nicht auch noch Anspruch auf einen Anteil des Überschusses (Urk. 38 S. 12). Eventualiter hält der Gesuchsteller eine hälftige Zuteilung des Freibetrages für angezeigt, sofern für die Berechnung des Unterhaltsanspruches sämtliche, gemäss Kreisschreiben des Obergerichts nicht in das Existenzminimum gehörende Positionen gestrichen würden (Urk. 38 S. S. 14).</w:t>
      </w:r>
    </w:p>
    <w:p>
      <w:r>
        <w:rPr>
          <w:b/>
        </w:rPr>
        <w:t>E. 6.3</w:t>
      </w:r>
    </w:p>
    <w:p>
      <w:r>
        <w:t>Bei der Aufteilung des Freibetrages ist eine allfällige weiterbestehende Sparquote vorab vom zu verteilenden Überschuss abzuziehen. Dabei ist darauf zu achten, dass die Quote nicht allein dem wirtschaftlich stärkeren Ehegatten zusteht, da die trennungsbedingten Mehrkosten diesfalls allein zu Lasten der Sparquote des Unterhaltsberechtigten gingen (vgl. zum Ganzen Hausheer/Spycher, a.a.O., N 02.27, 02.61c, 02.66 mit Hinweisen zur Bundesgerichtsrechtsprechung).</w:t>
      </w:r>
    </w:p>
    <w:p>
      <w:r>
        <w:rPr>
          <w:b/>
        </w:rPr>
        <w:t>E. 6.4</w:t>
      </w:r>
    </w:p>
    <w:p>
      <w:r>
        <w:t>Wie bereits dargelegt, rechnete die Vorinstanz der Gesuchsgegnerin neben den Bedarfspositionen gemäss Kreisschreiben des Obergerichts vom 16. September 2009 die von ihr geltend gemachten Auslagen für die laufende Gesundheit, die Zusatzversicherung zur Krankenkasse (VVG), Versicherungs- und Gestehungskosten für ihr Fahrzeug der Marke VW Passat sowie einen Beitrag für Fitness und Unterhaltung für sie persönlich und für C._____ in den Bedarf ein (Urk. 39 S. 7 f.). Entsprechend wurde auch der Bedarf des Gesuchstellers um diese Positionen erweitert, insbesondere wurden ihm für Hobbies unter anderem Boots- und Motorradkosten sowie Unterhaltungs- und Fitnesskosten angerechnet (Urk. 39 S. 8 f.). Mit Berücksichtigung dieser Positionen im Bedarf der Parteien wurde dem von ihnen glaubhaft dargelegten gelebten Lebensstandard vor der Trennung Rechnung getragen. Trotz des beidseits bereits grosszügig erweiterten Bedarfs erscheint überdies die Aufteilung</w:t>
      </w:r>
    </w:p>
    <w:p>
      <w:r>
        <w:t>- 12 - des Freibetrages auf die Parteien aus folgenden Überlegungen sachgerecht: Die Gesuchsgegnerin trug - mit Ausnahme eines Unterbruches nach der Geburt des gemeinsamen Sohnes C._____ - mit ihrem Einkommen zur Erwirtschaftung des Überschusses vor der Trennung bei (vgl. Hausheer/Spycher, a.a.O., N 02.66, Urk. 47 S. 11). Dass dieser Anteil von rund einem Fünftel des Gesamteinkommens wesentlich tiefer liegt als derjenige des Gesuchstellers, kann ihr angesichts der ihr zufallenden Betreuung von C._____ nicht zum Nachteil gereichen. Vielmehr soll sie vom ehelichen Überschuss ebenfalls profitieren können, soll die Mehrbelastung des Budgets aufgrund der trennungsbedingten Mehrkosten nicht einzig ihr als wirtschaftlich schwächerem Ehegatten aufgebürdet werden. Sodann darf auch C._____ nach der Trennung am bisher gelebten Standard der Eltern teilhaben. Zwar wurden im Bedarf der Gesuchsgegnerin neben dem Grundbetrag für den Sohn auch dessen Betreuungskosten sowie die Kosten für Freizeitaktivitäten im Umfang von Fr. 50.– aufgenommen. Es ist jedoch anzunehmen, dass der auf das Kind entfallende Freibetrag von Fr. 473.– (Fr. 947.– : 2) zur Deckung weiterer, nicht berücksichtigter Kosten verwendet wird. Zu denken ist etwa an zusätzliche Ausgaben für die Ausübung schulischer und ausserschulischer Aktivitäten (Urk. 18/16). Überdies ist mit der Vorinstanz festzuhalten, dass der Überschuss auch durch die trennungsbedingten Mehrkosten aufgezehrt werden dürfte. So ist von erhöhten Mobilitätskosten im Zusammenhang mit der Ausübung des Besuchsrechts (vgl. Urk. 39 S. 21, Dispositiv-Ziffer 3.4 Abs. 4) auszugehen. Zudem werden weitere Kosten für Ferien anfallen. Insgesamt ist somit die Bildung einer Sparquote im Rahmen des der Gesuchsgegnerin zufallenden Freibetragsanteils nicht glaubhaft. Vor diesem Hintergrund und nachdem ihr die Obhut über den gemeinsamen Sohn zugeteilt wurde, erweist sich die von der Vorinstanz vorgenommene leicht erhöhte Zuweisung des Freibetrages im Verhältnis von 55% an die Gesuchsgegnerin und das Kind, zu 45% an den Gesuchsteller, als sachgerecht. B. Variabler Anteil Zielsalär 1. Neben den Unterhaltsbeiträgen verpflichtete die Vorinstanz den Gesuchsteller zur Zahlung der Hälfte seines allfälligen variablen Anteils des</w:t>
      </w:r>
    </w:p>
    <w:p>
      <w:r>
        <w:t>- 13 - Zielsalärs an die Gesuchsgegnerin persönlich sowie zur Offenlegung der entsprechenden Lohnabrechnungen. Zur Begründung des Anspruchs verwies sie auf ihre zur Freibetragsaufteilung gemachten Ausführungen, mithin auf die erhöhten Kosten für die zwei zu finanzierenden Haushalte nach der Trennung (Hausunterhalt, Amortisierung Hypothek, Ferien etc., Urk. 39 S. 18, 16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