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LE130078 vom 23. Januar 2014</w:t>
      </w:r>
    </w:p>
    <w:p>
      <w:r>
        <w:t>ZH Obergericht, 2014-01-23, DE</w:t>
      </w:r>
    </w:p>
    <w:p>
      <w:r>
        <w:rPr>
          <w:b/>
        </w:rPr>
        <w:t xml:space="preserve">Quelle: </w:t>
      </w:r>
      <w:r>
        <w:t>https://mcp.opencaselaw.ch/entscheid/zh_obergericht_LE130078</w:t>
      </w:r>
    </w:p>
    <w:p>
      <w:r>
        <w:t>FR: ZH_OBERGERICHT LE130078 du 23 janvier 2014</w:t>
      </w:r>
    </w:p>
    <w:p>
      <w:r>
        <w:t>IT: ZH_OBERGERICHT LE130078 del 23 gennaio 2014</w:t>
      </w:r>
    </w:p>
    <w:p>
      <w:pPr>
        <w:pStyle w:val="Heading2"/>
      </w:pPr>
      <w:r>
        <w:t>Erwägungen</w:t>
      </w:r>
    </w:p>
    <w:p>
      <w:r>
        <w:rPr>
          <w:b/>
        </w:rPr>
        <w:t>E. 1</w:t>
      </w:r>
    </w:p>
    <w:p>
      <w:r>
        <w:t>a) Die Parteien sind verheiratet und haben zwei Kinder, eine Tochter (geboren am tt.mm.2002) und einen Sohn (geboren am tt.mm.2008). Seit dem 16. August 2013 stehen die Parteien vor dem Bezirksgericht Horgen (Vorinstanz) im Eheschutzverfahren (Vi-Urk. 1). Am 6. November 2013 fand der erste Teil der</w:t>
      </w:r>
    </w:p>
    <w:p>
      <w:r>
        <w:t>- 3 - Hauptverhandlung statt (Vi-Prot. S. 4 ff.; die Fortsetzung ist für den 12. Februar 2014 vorgesehen, Urk. 31). Am 17. November 2013 stellte die Gesuchstellerin ein Begehren um superprovisorische Zuteilung des ehelichen Einfamilienhauses an sie (Vi-Urk. 26). Nach Einholung von Stellungnahmen fällte die Vorinstanz am 11. Dezember 2013 den eingangs wiedergegebenen Entscheid (Vi-Urk. 43 = Urk. 2). b) Hiergegen hat der Gesuchsgegner am 20. Dezember 2013 fristgerecht (vgl. Vi-Urk. 44/2) Berufung mit den vorstehend wiedergegebenen Berufungsan- trägen erhoben (Urk. 1). c) Die vorinstanzlichen Akten wurden beigezogen. Da sich die Berufung sogleich als unbegründet erweist, kann auf die Einholung einer Berufungsantwort verzichtet werden (Art. 322 Abs. 1 ZPO).</w:t>
      </w:r>
    </w:p>
    <w:p>
      <w:r>
        <w:rPr>
          <w:b/>
        </w:rPr>
        <w:t>E. 2</w:t>
      </w:r>
    </w:p>
    <w:p>
      <w:r>
        <w:t>a) Mit der Berufung können unrichtige Rechtsanwendung und un- richtige Feststellung des Sachverhalts geltend gemacht werden (Art. 310 ZPO). In der Berufungsschrift sind die Behauptungen bestimmt und vollständig aufzustel- len. Im Rahmen der Berufungsbegründung ist darzulegen, weshalb die in der Be- rufungsschrift aufgeführten Berufungsanträge gestellt werden und gestützt auf welche Sachverhaltselemente und Rechtsgrundlagen sich diese Berufungsanträ- ge rechtfertigen. Die Begründung hat zu erklären, weshalb der erstinstanzliche Entscheid in den angefochtenen Punkten unrichtig sein soll, sie hat sich dement- sprechend mit den Entscheidgründen der Vorinstanz auseinanderzusetzen. Die Berufungsinstanz hat sodann die geltend gemachten Punkte zu prüfen. Sie hat nicht von sich aus den erstinstanzlichen Entscheid auf alle denkbaren Mängel zu untersuchen, wenn diese nicht gerügt werden, es sei denn, der Sachverhalt sei geradezu willkürlich festgestellt oder das Recht sei geradezu willkürlich ange- wandt worden und diese Fehlerhaftigkeiten träten klar zutage (Sutter-Somm/Ha- senböhler/Leuenberger [Hrsg.], Kommentar zur Schweizerischen Zivilprozessord- nung, 2.A. 2013, N 36 zu Art. 311 ZPO). b) Neue Vorbringen sind im Berufungsverfahren lediglich im Rahmen ech- ter Noven zulässig. Dies sind neue Tatsachenvorbringen und Beweismittel, wel- che kumulativ ohne Verzug vorgebracht werden (Art. 317 Abs. 1 lit. a ZPO) und</w:t>
      </w:r>
    </w:p>
    <w:p>
      <w:r>
        <w:t>- 4 - trotz zumutbarer Sorgfalt nicht schon vor erster Instanz vorgebracht werden konn- ten (Art. 317 Abs. 1 lit. b ZPO). Dies gilt auch für Verfahren, welche erstinstanzlich der Untersuchungsmaxime unterstehen, ist doch eine analoge Anwendung von Art. 229 Abs. 3 ZPO im Berufungsverfahren abzulehnen, da diese der im Gesetz eigens vorgesehenen abweichenden Regelung von Art. 317 ZPO entgegensteht (ZR 110/2011 Nr. 96; ZR 111/2012 Nr. 35).</w:t>
      </w:r>
    </w:p>
    <w:p>
      <w:r>
        <w:rPr>
          <w:b/>
        </w:rPr>
        <w:t>E. 3</w:t>
      </w:r>
    </w:p>
    <w:p>
      <w:r>
        <w:t>Die Vorinstanz erwog zusammengefasst, die bisherige Wohnsituation sei konfliktbelastet und es sei zu Auseinandersetzungen gekommen. Diese wür- den die Familie belasten und es sei den Parteien und insbesondere den Kindern nicht zuzumuten, diese längerfristig weiter aufrechtzuerhalten. Damit drohe ein nicht leicht wiedergutzumachender Nachteil, welchem mit einer raschen Klärung der Wohnsituation zu begegnen sei. Bei den Kriterien für die Zuteilung des Hau- ses stehe das Interesse der Kinder am Verbleib in der gewohnten Umgebung im Vordergrund. Die Zuteilung der Obhut an die Gesuchstellerin sei unstrittig und es erscheine angezeigt, den Kindern zumindest im Moment zu ermöglichen, in ihrer gewohnten Umgebung zu bleiben. Dass der als Architekt tätige Gesuchsgegner das Haus gelegentlich Kunden zeige, ergebe kein höher zu gewichtendes berufli- ches Angewiesensein. Für den Gesuchsgegner dürfte es auch einfacher sein, auch kurzfristig eine neue Unterkunft zu finden. Die Eigentumsverhältnisse seien dagegen ohne Belang (Urk. 2 S. 5 ff.).</w:t>
      </w:r>
    </w:p>
    <w:p>
      <w:r>
        <w:rPr>
          <w:b/>
        </w:rPr>
        <w:t>E. 4</w:t>
      </w:r>
    </w:p>
    <w:p>
      <w:r>
        <w:t>b). Ebenso hat der Gesuchsgegner selbst vorgetragen, er sei im Liegenschaf- tenmarkt sehr gut vernetzt und verfüge über gute Möglichkeiten, vor anderen Wohnungssuchenden eine Wohnung zu finden (Vi-Urk. 24 S. 27). Nachdem im heutigen Zeitpunkt sowohl die Festtage als auch die zwei Wochen, in welchen der Gesuchsgegner keine schweren Lasten heben darf, vorüber sind, ist die Berufung daher auch im Eventualantrag als unbegründet abzuweisen. Dass der Gesuchsgegner wegen des zeitlichen Drucks vielleicht nicht die preisgünstigste Wohnung wird finden können, wird gegebenenfalls in seinem Be- darf zu berücksichtigen sein.</w:t>
      </w:r>
    </w:p>
    <w:p>
      <w:r>
        <w:t>- 7 - d) Nach dem Gesagten ist die Berufung des Gesuchsgegners abzuwei- sen und das angefochtene Urteil zu bestätigen (Art. 318 Abs. 1 lit. a ZPO).</w:t>
      </w:r>
    </w:p>
    <w:p>
      <w:r>
        <w:rPr>
          <w:b/>
        </w:rPr>
        <w:t>E. 5</w:t>
      </w:r>
    </w:p>
    <w:p>
      <w:r>
        <w:t>Schriftliche Mitteilung an die Parteien, an die Gesuchstellerin unter Beilage des Doppels von Urk. 1, sowie an das Bezirksgericht Horgen, je gegen Em- pfangsschein.</w:t>
      </w:r>
    </w:p>
    <w:p>
      <w:r>
        <w:t>- 8 -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und ein Entscheid über vorsorgli- che Massnahme (Art. 98 BGG). Es handelt sich um eine nicht vermögensrechtliche An- gelegenheit. Die Beschwerde an das Bundesgericht hat keine aufschiebende Wirkung. Hinsichtlich des Fristenlaufs gelten die Art. 44 ff. BGG. Zürich, 23. Januar 2014 Obergericht des Kantons Zürich I. Zivilkammer Der Gerichtsschreiber: lic. iur. F. Rieke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