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LE130028 vom 26. November 2013</w:t>
      </w:r>
    </w:p>
    <w:p>
      <w:r>
        <w:t>ZH Obergericht, 2013-11-26, DE</w:t>
      </w:r>
    </w:p>
    <w:p>
      <w:r>
        <w:rPr>
          <w:b/>
        </w:rPr>
        <w:t xml:space="preserve">Quelle: </w:t>
      </w:r>
      <w:r>
        <w:t>https://mcp.opencaselaw.ch/entscheid/zh_obergericht_LE130028</w:t>
      </w:r>
    </w:p>
    <w:p>
      <w:r>
        <w:t>FR: ZH_OBERGERICHT LE130028 du 26 novembre 2013</w:t>
      </w:r>
    </w:p>
    <w:p>
      <w:r>
        <w:t>IT: ZH_OBERGERICHT LE130028 del 26 novembre 2013</w:t>
      </w:r>
    </w:p>
    <w:p>
      <w:pPr>
        <w:pStyle w:val="Heading2"/>
      </w:pPr>
      <w:r>
        <w:t>Erwägungen</w:t>
      </w:r>
    </w:p>
    <w:p>
      <w:r>
        <w:rPr>
          <w:b/>
        </w:rPr>
        <w:t>E. 1</w:t>
      </w:r>
    </w:p>
    <w:p>
      <w:r>
        <w:t>Die Parteien standen seit dem 5. Oktober 2012 vor Vorinstanz in einem Eheschutzverfahren (Urk. 1). Am 12. Dezember 2012 fand eine mündliche Ver- handlung statt (Prot. I S. 4). Die Vorinstanz hat die Parteien nie persönlich be- fragt. Die Parteien haben nach Abschluss der Verhandlung vom 12. Dezember 2012 eine weitere Verhandlung nach Eingang der Stellungnahme des Gesuch- stellers gewünscht (Prot. I S. 7). Am 17. Dezember 2012 hat die Vorinstanz für die weiteren Parteivorträge das schriftliche Verfahren angeordnet und dem Gesuch- steller Frist angesetzt, um zur Gesuchsantwort Stellung zu nehmen (Prot. I S. 8). Die 87-seitige Stellungnahme des Gesuchstellers mit 16 Beilagen ging am</w:t>
      </w:r>
    </w:p>
    <w:p>
      <w:r>
        <w:rPr>
          <w:b/>
        </w:rPr>
        <w:t>E. 4</w:t>
      </w:r>
    </w:p>
    <w:p>
      <w:r>
        <w:t>Die Dispositiv-Ziffern 1, 2, 7 und 10 des vorinstanzlichen Eheschutzent- scheides blieben unangefochten, weshalb diese in Rechtskraft erwachsen sind. Davon ist Vormerk zu nehmen.</w:t>
      </w:r>
    </w:p>
    <w:p>
      <w:r>
        <w:rPr>
          <w:b/>
        </w:rPr>
        <w:t>E. 4.1</w:t>
      </w:r>
    </w:p>
    <w:p>
      <w:r>
        <w:t>Die Vorinstanz hat die eheliche Liegenschaft der Gesuchsgegnerin zur Be- nützung zugewiesen (Dispositiv-Ziffer 4) und den Gesuchsteller zur Direktzahlung der Hypothekar- und Baurechtszinsen sowie der Unterhalts- und Versicherungs- kosten der ehelichen Liegenschaft verpflichtet (Dispositiv-Ziffer 8). Die Liegen- schaft umfasst rund 500 m2 Wohnfläche und befindet sich auf einem Grundstück von einer Fläche von 1'600 m2 am … [Wohngegend]. Sie bildet Gegenstand ei- nes den Parteien als einfache Gesellschaft zu gesamter Hand gehörenden selb- ständigen und dauernden Baurechts (Urk. 1 S. 4). Gemäss Steuererklärung 2011 betragen die Hypothekarkosten Fr. 164'977.– pro Jahr, die Baurechtszinsen be- laufen sich auf jährlich Fr. 51'800.– (Urk. 14/22 S. 6 und 9).</w:t>
      </w:r>
    </w:p>
    <w:p>
      <w:r>
        <w:rPr>
          <w:b/>
        </w:rPr>
        <w:t>E. 4.2</w:t>
      </w:r>
    </w:p>
    <w:p>
      <w:r>
        <w:t>Der Entscheid über die Zuweisung der ehelichen Liegenschaft wurde ledig- lich vom Gesuchsteller angefochten. Er beantragt, dass die eheliche Liegenschaft der Gesuchsgegnerin befristet bis 31. Mai 2014 zuzuweisen sei. Entsprechend sei er lediglich bis zu jenem Datum zur Direktzahlung der Liegenschaftskosten zu verpflichten und der Gesuchsgegnerin seien ab 1. Juni 2014 in deren Bedarf Wohnkosten von Fr. 4'800.– anzurechnen (Urk. 34 S. 20). Vor Vorinstanz be- gründete er seinen Antrag damit, dass er sich die Finanzierung der ehelichen Lie- genschaft mittel- bzw. längerfristig nicht leisten könne, weshalb sie verkauft wer- den müsse, was die Zuweisung des Hauses an ihn voraussetze (Urk. 24 S. 41 ff.).</w:t>
      </w:r>
    </w:p>
    <w:p>
      <w:r>
        <w:t>- 20 -</w:t>
      </w:r>
    </w:p>
    <w:p>
      <w:r>
        <w:rPr>
          <w:b/>
        </w:rPr>
        <w:t>E. 4.3</w:t>
      </w:r>
    </w:p>
    <w:p>
      <w:r>
        <w:t>Die Gesuchsgegnerin stellt sich auf den Standpunkt, dass die Vorinstanz ihr die Liegenschaft zu Recht während der gesamten Dauer des Getrenntlebens zu- gewiesen habe. Der Gesuchsteller habe ihr noch nach der Trennung lange versi- chert, dass sie und C._____ im Haus bleiben könnten (Urk. 51/34 S. 45).</w:t>
      </w:r>
    </w:p>
    <w:p>
      <w:r>
        <w:rPr>
          <w:b/>
        </w:rPr>
        <w:t>E. 4.4</w:t>
      </w:r>
    </w:p>
    <w:p>
      <w:r>
        <w:t>Liegen finanziell sehr gute Verhältnisse vor, ist nicht darauf abzustellen, ob die Wohnkosten angemessen sind, da der unterhaltsberechtigte Ehegatte An- spruch auf Weiterführung des bisherigen Lebensstandards hat. Würde aber die vollumfängliche Berücksichtigung der bisherigen Wohnkosten auf eine Erhöhung der Lebenshaltung hinauslaufen, weil der gleiche Raum für weniger Personen in Anspruch genommen wird, wäre das mit einem Abzug bei den Wohnkosten zu berücksichtigen (Urteil des Bundesgerichts 5P.138/2001 vom 10. Juli 2001 E. 2b). Die vorinstanzliche Argumentation, dass sich die Parteien für diesen luxuriösen Standard entschieden hätten, stimmt so nicht bzw. berücksichtigt die seitherigen Veränderungen der Verhältnisse nicht, nämlich, dass nach dem Auszug des Ge- suchstellers nur noch eine erwachsene Person und ein Kleinkind die eheliche Liegenschaft bewohnen. Die Gesuchsgegnerin anerkennt, dass die Parteien die Liegenschaft D._____-Strasse ... vor der Heirat zusammen als ihr gemeinsames Heim erworben und eingerichtet und beim Ausbau auf die Wünsche und Bedürf- nisse jedes Familienmitgliedes Rücksicht genommen haben (Urk. 13 S. 18, S. 30). Vor diesem Hintergrund ist die unbefristete Zuweisung der ehelichen Lie- genschaft an die Gesuchsgegnerin bzw. die unbefristete Verpflichtung des Ge- suchstellers zur Direktzahlung der sehr hohen Liegenschaftskosten nicht vertret- bar.</w:t>
      </w:r>
    </w:p>
    <w:p>
      <w:r>
        <w:rPr>
          <w:b/>
        </w:rPr>
        <w:t>E. 4.5</w:t>
      </w:r>
    </w:p>
    <w:p>
      <w:r>
        <w:t>Die Gesuchsgegnerin konnte sich noch nicht zur Frage äussern, ob sie am Antrag auf Zuweisung der ehelichen Liegenschaft festhalte, falls der Gesuchstel- ler nur für eine beschränkte Zeit zur Direktzahlung der Liegenschaftskosten ver- pflichtet werde. Die Gesuchsgegnerin ist von der Vorinstanz dazu anzuhören, weshalb das Verfahren auch mit Bezug auf den Entscheid über die Zuweisung der ehelichen Liegenschaft an die Vorinstanz zurückzuweisen ist. Lediglich der Vollständigkeit halber ist der Gesuchsteller darauf hinzuweisen, dass ihm ein Ver- kauf der ehelichen Liegenschaft erst möglich ist, wenn die Gesuchsgegnerin ihre</w:t>
      </w:r>
    </w:p>
    <w:p>
      <w:r>
        <w:t>- 21 - Zustimmung dazu erteilt hat, nachdem sie beide am Haus gesamthandschaftlich berechtigt sind. Schliesslich bleibt festzuhalten, dass die Dispositiv-Ziffer 5 (Her- ausgabe der Schlüssel der ehelichen Liegenschaft) und die Dispositiv-Ziffer 6 (Mitteilung an die Firma E._____ AG betreffend Verfügungsberechtigung über die Alarmanlage) zwar nicht angefochten wurden, jedoch mit dem Entscheid über die Zuweisung der ehelichen Liegenschaft eng verknüpft sind, weshalb die Vorinstanz im Rahmen der Liegenschaftszuweisung auch über die Dispositiv-Ziffern 6 und 7 neu zu befinden hat. III. Zufolge Rückweisung des Verfahrens können die Kosten- und Entschädigungs- folgen für das erst- und zweitinstanzliche Verfahren noch nicht abschliessend ge- regelt werden. Es sind daher zwar für das Berufungsverfahren Kosten festzuset- zen, doch der Entscheid über die Kostenauflage und die Regelung der Entschädi- gungsfolgen ist dem Endentscheid der Vorinstanz vorzubehalten. Da das Verfah- ren nicht abgeschlossen wird, ist die Entscheidgebühr für das Berufungsverfahren in Anwendung der §§ 5 Abs. 1, 6 Abs. 2 lit. b, 8 Abs. 1 und 12 GebV OG auf Fr. 6'000.– festzusetzen. Es wird beschlossen: 1. Das Berufungsverfahren LE130029 wird mit dem vorliegenden Berufungsverfahren vereinigt und unter der Prozessnummer LE130028 wei- tergeführt. 2. Das Berufungsverfahren LE130029 wird als dadurch erledigt abgeschrieben. 3. Es wird vorgemerkt, dass die Dispositiv-Ziffern 1, 2, 7 und 10 des Urteils des Einzelgerichts im summarischen Verfahren am Bezirksgericht Zürich, 3. Ab- teilung, vom 21. März 2013 rechtskräftig sind.</w:t>
      </w:r>
    </w:p>
    <w:p>
      <w:r>
        <w:t>- 22 - 4. Dispositiv-Ziffer 3 des Urteils des Einzelgerichts im summarischen Verfahren am Bezirksgericht Zürich, 3. Abteilung, vom 21. März 2013 wird aufgehoben und durch folgende Fassung ersetzt: " Der Gesuchsteller wird bis 31. Dezember 2013 für berechtigt erklärt, die Toch- ter C._____ wöchentlich am Mittwochnachmittag von 14:00 Uhr bis 18:00 Uhr und am Sonntagnachmittag von 12:00 Uhr bis 18:00 Uhr auf eigene Kosten zu sich oder mit sich auf Besuch zu nehmen. Der Gesuchsteller wird ab 1. Januar 2014 für berechtigt erklärt, die Tochter C._____ wie folgt auf eigene Kosten zu sich oder mit sich auf Besuch zu neh- men. - jede Woche: am Dienstag von 11:00 Uhr bis 15:00 Uhr - in den geraden Wochen: am Sonntag von 11:30 Uhr bis 17:30 Uhr - in den ungeraden Wochen: am Freitag von 11:00 Uhr bis 15:00 Uhr."</w:t>
      </w:r>
    </w:p>
    <w:p>
      <w:r>
        <w:rPr>
          <w:b/>
        </w:rPr>
        <w:t>E. 5</w:t>
      </w:r>
    </w:p>
    <w:p>
      <w:r>
        <w:t>Die Dispositiv-Ziffern 4-6, 8, 9 und 11-13 des Urteils des Einzelgerichts im summarischen Verfahren am Bezirksgericht Zürich, 3. Abteilung, vom 21. März 2013 werden aufgehoben und die Sache wird zur Vervollständi- gung des Sachverhalts und zu neuer Entscheidung im Sinne der Erwägun- gen an die Vorinstanz zurückgewiesen.</w:t>
      </w:r>
    </w:p>
    <w:p>
      <w:r>
        <w:rPr>
          <w:b/>
        </w:rPr>
        <w:t>E. 6</w:t>
      </w:r>
    </w:p>
    <w:p>
      <w:r>
        <w:t>Die zweitinstanzliche Entscheidgebühr des vereinigten Berufungsverfahren wird auf Fr. 6'000.– festgesetzt.</w:t>
      </w:r>
    </w:p>
    <w:p>
      <w:r>
        <w:rPr>
          <w:b/>
        </w:rPr>
        <w:t>E. 7</w:t>
      </w:r>
    </w:p>
    <w:p>
      <w:r>
        <w:t>Die Regelung der Kosten- und Entschädigungsfolgen des vereinigten Beru- fungsverfahrens wird dem Endentscheid der Vorinstanz vorbehalten.</w:t>
      </w:r>
    </w:p>
    <w:p>
      <w:r>
        <w:rPr>
          <w:b/>
        </w:rPr>
        <w:t>E. 8</w:t>
      </w:r>
    </w:p>
    <w:p>
      <w:r>
        <w:t>Schriftliche Mitteilung an die Parteien und an das Bezirksgericht Zürich, 3. Abteilung, je gegen Empfangsschein. Die erst- und zweitinstanzlichen Akten werden der Vorinstanz nach unbe- nutztem Ablauf der Rechtsmittelfrist zugestellt.</w:t>
      </w:r>
    </w:p>
    <w:p>
      <w:r>
        <w:t>- 23 -</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und ein Entscheid über vorsorgliche Massnahmen im Sinne von Art. 98 BGG. Es handelt sich um eine nicht vermögensrechtliche Angelegenheit. Die Beschwerde an das Bundesgericht hat keine aufschiebende Wirkung. Hinsichtlich des Fristenlaufs gelten die Art. 44 ff. BGG. Zürich, 26. November 2013 Obergericht des Kantons Zürich I. Zivilkammer Die Gerichtsschreiberin: lic. iur. J. Freiburghaus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