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LE130004 vom 17. Mai 2013</w:t>
      </w:r>
    </w:p>
    <w:p>
      <w:r>
        <w:t>ZH Obergericht, 2013-05-17, DE</w:t>
      </w:r>
    </w:p>
    <w:p>
      <w:r>
        <w:rPr>
          <w:b/>
        </w:rPr>
        <w:t xml:space="preserve">Quelle: </w:t>
      </w:r>
      <w:r>
        <w:t>https://mcp.opencaselaw.ch/entscheid/zh_obergericht_LE130004</w:t>
      </w:r>
    </w:p>
    <w:p>
      <w:r>
        <w:t>FR: ZH_OBERGERICHT LE130004 du 17 mai 2013</w:t>
      </w:r>
    </w:p>
    <w:p>
      <w:r>
        <w:t>IT: ZH_OBERGERICHT LE130004 del 17 maggio 2013</w:t>
      </w:r>
    </w:p>
    <w:p>
      <w:pPr>
        <w:pStyle w:val="Heading2"/>
      </w:pPr>
      <w:r>
        <w:t>Erwägungen</w:t>
      </w:r>
    </w:p>
    <w:p>
      <w:r>
        <w:rPr>
          <w:b/>
        </w:rPr>
        <w:t>E. 1</w:t>
      </w:r>
    </w:p>
    <w:p>
      <w:r>
        <w:t>Die Parteien sind seit tt. September 2010 verheiratet und haben keine gemeinsamen Kinder. Mit Eingabe vom 31. August 2012 gelangte der Gesuch- steller und Berufungskläger (fortan: Gesuchsteller) an das Bezirksgericht Bülach</w:t>
      </w:r>
    </w:p>
    <w:p>
      <w:r>
        <w:t>- 5 - und ersuchte um Anordnung von Eheschutzmassnahmen (Urk. 1). Betreffend den Verlauf des erstinstanzlichen Verfahrens kann auf die Erwägungen der Vorinstanz verwiesen werden (Urk. 26 S. 3). Die Vorinstanz fällte am 10. Januar 2013 das eingangs wiedergegebene Urteil (Urk. 26).</w:t>
      </w:r>
    </w:p>
    <w:p>
      <w:r>
        <w:rPr>
          <w:b/>
        </w:rPr>
        <w:t>E. 1.1</w:t>
      </w:r>
    </w:p>
    <w:p>
      <w:r>
        <w:t>Die Gesuchsgegnerin beantragt, es sei ihr für das Berufungsverfahren die unentgeltliche Rechtspflege zu bewilligen und in der Person von Rechtsanwäl- tin MLaw Y._____ eine unentgeltliche Rechtsbeiständin zu bestellen (Urk. 34 S. 2 und 9 ff.).</w:t>
      </w:r>
    </w:p>
    <w:p>
      <w:r>
        <w:rPr>
          <w:b/>
        </w:rPr>
        <w:t>E. 1.2</w:t>
      </w:r>
    </w:p>
    <w:p>
      <w:r>
        <w:t>Mit Verfügung der Vorinstanz vom 10. Januar 2013 wurde den Parteien die unentgeltliche Rechtspflege gewährt sowie dem Gesuchsteller Rechtsanwalt ass. jur. X._____ und der Gesuchsgegnerin Rechtsanwältin MLaw Y._____ als unentgeltliche Rechtsbeistände bestellt (Urk. 26 S. 15). In finanzieller Hinsicht ergibt sich seit dem vorinstanzlichen Entscheid bei der Gesuchsgegnerin seit dem 1. März 2013 ein höheres Einkommen aufgrund ihrer zusätzlichen Tätigkeit als Teilzeitreinigungskraft für die I._____ GmbH. Damit verdient sie bei einer wö- chentlichen Arbeitszeit von elf Stunden monatlich Fr. 900.– brutto (Urk. 36/6). Sie ist aber trotzdem nach wie vor auf die Unterstützung durch die Sozialhilfe ange- wiesen (Urk. 34 S. 10 und Urk. 36/7). Über Vermögen verfügt sie nicht (Urk. 36/8- 10). Sodann waren die Gewinnaussichten der Gesuchsgegnerin im Berufungsver- fahren nicht beträchtlich geringer als die Verlustgefahren. Ausserdem ist sie auf</w:t>
      </w:r>
    </w:p>
    <w:p>
      <w:r>
        <w:t>- 15 - einen Rechtsbeistand zur Wahrung ihrer Rechte angewiesen, insbesondere auch da der Gesuchsteller anwaltlich vertreten ist (Art. 118 Abs. 1 lit. c ZPO). Der Ge- suchsgegnerin ist somit auch im Berufungsverfahren die unentgeltliche Rechts- pflege i.S.v. Art. 118 ZPO zu gewähren. 2. Die Gerichtskosten – deren Höhe unangefochten blieb, weshalb sie gem. Ziff. II.1 oben in Rechtskraft erwuchsen – von Fr. 3'000.– (zuzüglich Ausla- gen von Fr. 337.50 für Dolmetscherkosten) wurden zu ¾ dem Gesuchsteller und zu ¼ der Gesuchsgegnerin auferlegt, jedoch zufolge der ihnen gewährten unent- geltlichen Rechtspflege einstweilen auf die Gerichtskasse genommen. Weiter wurde der Gesuchsteller verpflichtet, Rechtsanwältin MLaw Y._____ eine redu- zierte Parteientschädigung in der Höhe von Fr. 1'750.– zu bezahlen (inkl. MwSt.). Da diese Entschädigung vom Gesuchsteller voraussichtlich nicht erhältlich sein werde, sei sie der unentgeltlichen Rechtsvertreterin direkt aus der Gerichtskasse auszubezahlen (Urk. 22 Dispositiv-Ziffern 8 und 9). Zur Begründung wurde ange- führt, in Anbetracht dessen, dass die Parteien hinsichtlich dreier Anträge eine Vereinbarung geschlossen hätten und die Gesuchsgegnerin bei den strittig ge- bliebenen Anträgen vollumfänglich obsiegt habe, erscheine es als angemessen, den Gesuchsteller als zu ¾ unterliegende Partei zu betrachten. Sodann sei der Gesuchsteller zu verpflichten, der Gesuchsgegnerin eine auf die Hälfte reduzierte Parteientschädigung zu bezahlen (Urk. 26 S. 13). Aufgrund des vorliegenden Berufungsausgangs obsiegt der Gesuchsteller bei den strittig gebliebenen Punkten betreffend die Wohnungszuteilung, die Gesuchsgeg- nerin obsiegt betreffend das Auskunftsbegehren. Damit rechtfertigt es sich, den Parteien die Kosten für das erstinstanzliche Verfahren je hälftig aufzuerlegen, zu- folge Gewährung der unentgeltlichen Rechtspflege jedoch einstweilen auf die Ge- richtskasse zu nehmen. Entsprechend der Kostenverteilung sind für das erstin- stanzliche Verfahren keine Parteientschädigungen zuzusprechen.</w:t>
      </w:r>
    </w:p>
    <w:p>
      <w:r>
        <w:rPr>
          <w:b/>
        </w:rPr>
        <w:t>E. 2</w:t>
      </w:r>
    </w:p>
    <w:p>
      <w:r>
        <w:t>Der Gesuchsteller rügt zuerst eine Missachtung des rechtlichen Gehörs durch die Vorinstanz. Nach Klagebegründung und -antwort habe die Vorinstanz den Parteien einen Vergleichsvorschlag unterbreitet, welcher den Auszug des Gesuchstellers vorgesehen habe. Erst als dieser Aspekt strittig geblieben sei, hät- ten die Parteien die Möglichkeit zum mündlichen zweiten Parteivortrag erhalten. Mit dieser Vorgehensweise habe die Vorinstanz dem Gesuchsgegner nicht die Möglichkeit gegeben, zu den in der Klageantwort aufgeworfenen neuen Behaup- tungen Stellung zu nehmen, bevor sie sich in einem Vergleichsvorschlag auf eine Ansicht festgelegt und in der Urteilsbegründung immer noch daran festgehalten habe. Die Vorinstanz habe mit ihrer vorgefassten Auffassung die Parteien nur "pro forma" zu Replik und Duplik eingeladen. Dieses Vorgehen deute auf eine Voreingenommenheit und Befangenheit der Vorinstanz hin, womit dem Gesuch- steller keine Möglichkeit auf einen fairen Prozess gewährt worden sei (Urk. 25 S. 3 f.). Zudem habe die Vorinstanz die logische Prüfungsreihenfolge der Rechtsprechung betreffend Wohnungszuteilung missachtet: Obwohl die Vorinstanz in der Ur- teilserwägung richtig festgehalten habe, dass keine der Parteien ein grösseres In- teresse an der ehelichen Wohnung habe glaubhaft machen können, habe die Vorinstanz das Kriterium, welcher Partei der Auszug aus der ehelichen Wohnung eher zugemutet werden könne, falsch geprüft. Die Argumentation der Vorinstanz sei nicht nachvollziehbar, wenn die Gesuchsgegnerin trotz fehlender Bindung zur ehelichen Wohnung nicht ausziehen müsse. Ihr könne es eher zugemutet wer-</w:t>
      </w:r>
    </w:p>
    <w:p>
      <w:r>
        <w:t>- 8 - den, aus der ehelichen Wohnung auszuziehen und mithilfe der wirtschaftlichen Sozialfürsorge eine neue Wohnung zu finden. Der Gesuchsteller lebe seit zehn Jahren in der ehelichen Wohnung und habe einen Bekannten- und Freundeskreis aufgebaut sowie in unmittelbarer Nähe zur Wohnung im Familiengartenverein drei Parzellen gepachtet. Er verschaffe sich durch die Gartenarbeit den notwendigen Ausgleich für seine angeschlagene Gesundheit (Urk. 25 S. 5 f.). Die Gesuchs- gegnerin werde sich genauso gut in einer anderen Gegend im Grossraum Zürich zu Recht finden. Die Vorinstanz unterschätze zudem den Freundes- und Bekann- tenkreis der Gesuchsgegnerin, der es ihr bereits ermöglicht habe, eine …- sprechende [Sprache in G._____] Anwältin zu organisieren und den Schriftver- kehr mit den Behörden abzuwickeln. Auf diesen Freundeskreis könne sich die Gesuchsgegnerin auch bei der Wohnungssuche verlassen. Dass der Gesuchstel- ler der Gesuchsgegnerin das Kennenlernen untersagt haben solle, sei unrichtig protokolliert worden (und sei für sie kein Grund gewesen, doch neue Freunde und Bekannte kennenzulernen). Die Vorinstanz argumentiere zudem widersprüchlich, wenn sie ausführe, dass der Gesuchsteller die Gesuchsgegnerin über gemeinsa- me Bekannte kennengelernt habe, gleichzeitig aber schreibe, dass die Gesuchs- gegnerin im Gegensatz zum Gesuchsteller über keinen Bekannten- sowie Freun- deskreis verfügen würde (Urk. 25 S. 6). Letztlich hätte die Vorinstanz das Affekti- onsinteresse des Gesuchstellers höher werten müssen und selbst wenn dem nicht so wäre, auf seinen Mietvertrag abstellen müssen (Urk. 25 S. 7).</w:t>
      </w:r>
    </w:p>
    <w:p>
      <w:r>
        <w:rPr>
          <w:b/>
        </w:rPr>
        <w:t>E. 3</w:t>
      </w:r>
    </w:p>
    <w:p>
      <w:r>
        <w:t>Die Gesuchsgegnerin macht geltend, der Gesuchsteller versuche mit bereits vor Vorinstanz vorgebrachten Erklärungen darzulegen, weshalb ihm die eheliche Wohnung zugeteilt werden solle (Urk. 34 S. 3). Keinesfalls könne bei der Gesuchsgegnerin von einer fehlenden Bindung zur ehelichen Wohnung gespro- chen werden, wie dies der Gesuchsteller in der Berufung ausführe. Im Gegenteil sei die eheliche Wohnung neben der Ehe mit dem Gesuchsteller die einzige feste Bindung, welche die Gesuchsgegnerin habe, seit sie in der Schweiz lebe. Auch wenn der Gesuchsteller schon länger in der Wohnung lebe, sei zu bedenken, dass die Gesuchsgegnerin ihre Heimat und ihr bisheriges Leben aufgegeben ha- be, um mit dem Gesuchsteller zusammenzuleben (Urk. 34 S. 6). Die Hobbytätig- keit des Gesuchstellers im Familiengarten könne nicht als Zuweisungsgrund an</w:t>
      </w:r>
    </w:p>
    <w:p>
      <w:r>
        <w:t>- 9 - ihn ins Gewicht fallen; er sei auch aus gesundheitlichen Gründen nicht auf die Wohnung angewiesen, wie dies bei einer Behinderung der Fall sei. Der Gesuch- steller könne sich eine neue Wohnung in C._____ oder Umgebung suchen und somit seine Gärten weiterhin pflegen (Urk. 34 S. 6 f.). Es treffe nicht zu, dass sich die Gesuchsgegnerin genauso gut in einer anderen Gegend im Grossraum Zürich zu Recht finden werde. Sie habe bis zu ihrem 52. Lebensjahr in einer kleinen Stadt F._____s gelebt. Mit ihrem Eifer, ihrer Offenheit und ihrem Optimismus ha- be die Gesuchsgegnerin zwar versucht, sich schnell an die neue Umgebung und die Verhältnisse in der Schweiz anzupassen. So habe sie mit der Zeit (trotz den Verboten des Gesuchstellers) ein paar Bekanntschaften schliessen und eine Teil- zeitarbeitsstelle finden können, wo man mit ihr sehr zufrieden sei. Eine Integration in einem neuen Quartier sei für sie im Gegensatz zum Gesuchsteller, der seit 35 Jahren in der Schweiz lebe, ungleich schwerer (Urk. 34 S. 7 mit Hinweis auf Urk. 36/1). Die …-sprechende Rechtsanwältin habe die Gesuchsgegnerin via ihre Nachbarin und Deutschlehrerin sowie die Beratungsstelle für Frauen "…" gefun- den (Urk. 34 S. 8). Die Gesuchsgegnerin verfüge im Gegensatz zum Gesuchstel- ler über keinen Verwandten- oder Bekanntenkreis, welcher ihr vorübergehend ei- ne Wohngelegenheit bieten könnte. Der Gesuchsteller hingegen habe zwei Töch- ter und zwei Söhne in der Schweiz, wovon drei sogar in je separaten Wohnungen in H._____ und C._____ lebten. Auch der jüngere Bruder des Gesuchstellers wohne in der Schweiz. Zutreffend habe die Vorinstanz in ihrem Entscheid berück- sichtigt, dass die Gesuchsgegnerin über eine Niederlassungsbewilligung B verfü- ge und im Gegensatz zum Gesuchsteller keine Deutschkenntnisse habe, weshalb sie bei der Wohnungssuche erheblich benachteiligt sei (Urk. 34 S. 8).</w:t>
      </w:r>
    </w:p>
    <w:p>
      <w:r>
        <w:rPr>
          <w:b/>
        </w:rPr>
        <w:t>E. 3.1</w:t>
      </w:r>
    </w:p>
    <w:p>
      <w:r>
        <w:t>Die Höhe der Gerichtsgebühr richtet sich für das vorliegende Verfahren nach § 12 Abs. 1 und 2 in Verbindung mit §§ 2, 5 Abs. 1, 6 Abs. 2 lit. b der Ge- bührenverordnung des Obergerichts vom 8. September 2010 (GebV OG). Unter Berücksichtigung des tatsächlichen Streitinteresses, dem Zeitaufwand des Ge-</w:t>
      </w:r>
    </w:p>
    <w:p>
      <w:r>
        <w:t>- 16 - richts und der Schwierigkeit des Falles erscheint einen Gerichtsgebühr von Fr. 3'000.– angemessen.</w:t>
      </w:r>
    </w:p>
    <w:p>
      <w:r>
        <w:rPr>
          <w:b/>
        </w:rPr>
        <w:t>E. 3.2</w:t>
      </w:r>
    </w:p>
    <w:p>
      <w:r>
        <w:t>Die Parteien tragen die Kosten nach Obsiegen und Unterliegen (Art. 106 Abs. 1 und 2 ZPO). Damit sind die Kosten für das Berufungsverfahren vollumfänglich der Gesuchsgegnerin aufzuerlegen, jedoch zufolge der Gewäh- rung der unentgeltlichen Prozessführung einstweilen auf die Gerichtskasse zu nehmen.</w:t>
      </w:r>
    </w:p>
    <w:p>
      <w:r>
        <w:rPr>
          <w:b/>
        </w:rPr>
        <w:t>E. 4</w:t>
      </w:r>
    </w:p>
    <w:p>
      <w:r>
        <w:t>Entsprechend der Kostenverteilung ist die Gesuchsgegnerin zu ver- pflichten, dem Gesuchsteller eine volle Prozessentschädigung zu bezahlen. Die für die Festsetzung der Parteientschädigung massgeblichen Bestimmungen fin- den sich in der Verordnung über die Anwaltsgebühren vom 8. September 2010 (AnwGebV). Die volle Prozessentschädigung ist in Anwendung von § 5 Abs. 1, § 6 Abs. 3, § 11 und § 13 der AnwGebV auf Fr. 2'000.– (inkl. Barauslagen; der Gesuchsteller verlangte keinen Zuschlag für die Mehrwertsteuer) festzusetzen. Da die zuzusprechende Prozessentschädigung von Fr. 2'000.– bei der Gesuchs- gegnerin voraussichtlich nicht einbringlich sein wird (vgl. Ziff. IV.1.2 oben), ist die- se Rechtsanwalt ass. jur. X._____ direkt aus der Gerichtskasse auszurichten, wobei der Anspruch mit der Ausrichtung auf den Kanton übergeht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