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LE120078 vom 20. Dezember 2012</w:t>
      </w:r>
    </w:p>
    <w:p>
      <w:r>
        <w:t>ZH Obergericht, 2012-12-20, DE</w:t>
      </w:r>
    </w:p>
    <w:p>
      <w:r>
        <w:rPr>
          <w:b/>
        </w:rPr>
        <w:t xml:space="preserve">Quelle: </w:t>
      </w:r>
      <w:r>
        <w:t>https://mcp.opencaselaw.ch/entscheid/zh_obergericht_LE120078</w:t>
      </w:r>
    </w:p>
    <w:p>
      <w:r>
        <w:t>FR: ZH_OBERGERICHT LE120078 du 20 décembre 2012</w:t>
      </w:r>
    </w:p>
    <w:p>
      <w:r>
        <w:t>IT: ZH_OBERGERICHT LE120078 del 20 dicembre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Parteien stehen vor Vorinstanz im Eheschutzverfahren. Mit Verfügung vom 13. November 2012 entschied diese im Sinne vorsorglicher Massnahmen über die Obhut über die Kinder C._____, geb. tt.mm.2003, D._____, geb. tt.mm.2005, und E._____, geb. tt.mm.2011, das jeweilige Besuchsrecht der Par- teien, eine Beistandschaft für E._____, die Zuteilung der ehelichen Wohnung so- wie die Leistung eines Prozesskostenvorschusses des Gesuchstellers (Klägers) und Berufungsklägers (fortan Gesuchsteller) an die Gesuchsgegnerin (Beklagte) und Berufungsbeklagte (fortan Gesuchsgegnerin) (vgl. Urk. 2).</w:t>
      </w:r>
    </w:p>
    <w:p>
      <w:r>
        <w:rPr>
          <w:b/>
        </w:rPr>
        <w:t>E. 2</w:t>
      </w:r>
    </w:p>
    <w:p>
      <w:r>
        <w:t>Gegen diesen Entscheid erhob der Gesuchsteller mit Eingabe vom 22. No- vember 2012 (Datum des Poststempels: 23. November 2012) rechtzeitig Beru- fung, beantragte sinngemäss die Aufhebung der Dispositiv-Ziffern 2-5, 7 und 9 und stellte Anträge zu den durch die Vorinstanz in diesen Ziffern geregelten Punk- ten (Urk. 1).</w:t>
      </w:r>
    </w:p>
    <w:p>
      <w:r>
        <w:rPr>
          <w:b/>
        </w:rPr>
        <w:t>E. 3</w:t>
      </w:r>
    </w:p>
    <w:p>
      <w:r>
        <w:t>Innert der ihr mit Verfügung vom 4. Dezember 2012 (Urk. 6) angesetzten Frist erstattete die Gesuchsgegnerin die Berufungsantwort, beantragte grundsätz- lich die kostenpflichtige Abweisung der beklagtischen Berufung und die Erhöhung des Prozesskostenvorschusses auf Fr. 10'000.– (Urk. 7 S. 2). 4.1. Unter den Voraussetzungen von Art. 239 Abs. 1 ZPO kann das Gericht sei- nen Entscheid ohne schriftliche Begründung eröffnen, hat eine solche jedoch nachzuliefern, wenn eine Partei dies innert zehn Tagen seit der Eröffnung ver- langt. Der angefochtene Entscheid wurde den Parteien jedoch nicht unbegründet im Sinne von Art. 239 Abs. 1 lit. b ZPO eröffnet, sondern enthält eine äusserst knappe Begründung, welche es den Parteien - wie auch der Berufungsinstanz - jedoch nicht erlaubt, sich mit den Beweggründen der Vorinstanz für die getroffe- nen Regelungen auseinanderzusetzen. Dies stellt eine gravierende Verletzung des Anspruchs der Parteien auf rechtliches Gehör dar, wie er in Art. 29 Abs. 2 BV, Art. 6 Abs. 1 EMRK sowie Art. 53 Abs. 1 ZPO festgehalten ist, bildet das Recht auf Begründung des Entscheids doch Teilgehalt dieses Anspruchs (vgl. statt vie- ler: ZPO-Kommentar Sutter-Somm/Hasenböhler/Leuenberger, Zürich [etc.] 2010,</w:t>
      </w:r>
    </w:p>
    <w:p>
      <w:r>
        <w:t>- 3 - Sutter-Somm / Chevalier, N 4 zu Art. 53). Wird eine Verweigerung des rechtlichen Gehörs durch die Vorinstanz festgestellt, so leidet der Entscheid an einem schwe- ren Mangel und wird aufgrund der sogenannten formellen Natur des Gehörsan- spruch, unabhängig davon, ob der Entscheid ohne die Verletzung anders ausge- fallen wäre, aufgehoben (ZPO-Kommentar Sutter-Somm/Hasenböhler/ Leuenber- ger, a.a.o., Sutter-Somm/Chevalier, N 26 zu Art. 53). Ausnahmsweise kann die Verletzung von der Rechtsmittelinstanz geheilt werden. Die Heilung ist nur zuläs- sig, wenn die Verletzung des rechtlichen Gehörs nicht gravierend ist und die Rechtsmittelinstanz die gleiche Kognition in Tat- und Rechtsfragen hat wie die Vorinstanz (ZPO-Kommentar Sutter-Somm/Hasen-böhler/Leuenberger, a.a.O., N 27 zu Art. 53). 4.2. Da es sich vorliegend - wie bereits ausgeführt - um eine gravierende Verlet- zung des rechtlichen Gehörs handelt, ist eine Heilung im Berufungsverfahren nicht möglich, weshalb die angefochtenen Dispositiv-Ziffern 2-5, 7 und 9 des vor- instanzlichen Entscheids in Gutheissung der Berufung aufzuheben und zur Be- gründung an die Vorinstanz zurückzuweisen sind. Die Obhutsregelung bezüglich den Söhnen C._____ und D._____ (Dispositiv-Ziffer 1) wie auch die Dispositiv- Ziffern 6 und 8 sind nicht angefochten und haben daher Bestand.</w:t>
      </w:r>
    </w:p>
    <w:p>
      <w:r>
        <w:rPr>
          <w:b/>
        </w:rPr>
        <w:t>E. 5</w:t>
      </w:r>
    </w:p>
    <w:p>
      <w:r>
        <w:t>Die Gerichtskosten des Berufungsverfahrens sind in Anwendung von Art. 107 Abs. 2 ZPO auf die Gerichtskasse zu nehmen. Mangels gesetzlicher Grundlage sind keine Parteientschädigungen zuzusprechen.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