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LE120077 vom 12. Juni 2013</w:t>
      </w:r>
    </w:p>
    <w:p>
      <w:r>
        <w:t>ZH Obergericht, 2013-06-12, DE</w:t>
      </w:r>
    </w:p>
    <w:p>
      <w:r>
        <w:rPr>
          <w:b/>
        </w:rPr>
        <w:t xml:space="preserve">Quelle: </w:t>
      </w:r>
      <w:r>
        <w:t>https://mcp.opencaselaw.ch/entscheid/zh_obergericht_LE120077</w:t>
      </w:r>
    </w:p>
    <w:p>
      <w:r>
        <w:t>FR: ZH_OBERGERICHT LE120077 du 12 juin 2013</w:t>
      </w:r>
    </w:p>
    <w:p>
      <w:r>
        <w:t>IT: ZH_OBERGERICHT LE120077 del 12 giugno 2013</w:t>
      </w:r>
    </w:p>
    <w:p>
      <w:pPr>
        <w:pStyle w:val="Heading2"/>
      </w:pPr>
      <w:r>
        <w:t>Erwägungen</w:t>
      </w:r>
    </w:p>
    <w:p>
      <w:r>
        <w:rPr>
          <w:b/>
        </w:rPr>
        <w:t>E. 1</w:t>
      </w:r>
    </w:p>
    <w:p>
      <w:r>
        <w:t>Mit Eingabe vom 28. Februar 2012 machte die Gesuchstellerin und Be- rufungsbeklagte (fortan Gesuchstellerin) beim Bezirksgericht Horgen ein Ehe- schutzbegehren anhängig (Urk. 1). Die Prozessgeschichte ergibt sich im Übrigen aus dem angefochtenen Urteil (vgl. Urk. 46 S. 2-5). Mit Urteil vom 17. Oktober 2012 wurde der Prozess erstinstanzlich erledigt (Urk. 46).</w:t>
      </w:r>
    </w:p>
    <w:p>
      <w:r>
        <w:rPr>
          <w:b/>
        </w:rPr>
        <w:t>E. 2</w:t>
      </w:r>
    </w:p>
    <w:p>
      <w:r>
        <w:t>a) Dagegen erhob der Gesuchsgegner und Berufungskläger (fortan Gesuchsgegner) mit Eingabe vom 19. November 2012 rechtzeitig Berufung (Urk. 45). Die gemäss Präsidialverfügung vom 28. November 2012 festgesetzte Kauti- on über Fr. 3'000.– bezahlte er fristgerecht (Urk. 50, 51). Die innert Frist erstattete Berufungsantwort der Gesuchstellerin datiert vom 14. Januar 2013 (Urk. 53). Mit Präsidialverfügung vom 31. Januar 2013 wurde dem Gesuchsgegner Frist anbe- raumt, um sich zu den Noven und neuen Unterlagen in der Berufungsantwort zu äussern (Urk. 57). Diese Frist wurde dem Gesuchsgegner antragsgemäss zwei- mal erstreckt, das letzte Mal im Sinne einer Notfrist bis 11. März 2013 (Urk. 58, 59 S. 2). Am 12. März 2013 (Datum Poststempel: 11. März 2013) wurde die Kammer von der von den Parteien am 10. März 2013 geschlossenen Scheidungskonventi- on, welche auch die Verpflichtung des Gesuchsgegners, seine Berufung zurück- zuziehen, umfasst, sowie der beim Bezirksgericht Horgen raschmöglichst verlang- ten Anhörung in Kenntnis gesetzt (Urk. 61, 62/1, 2). b) Mit Schreiben vom 6. Juni 2013 zog der Gesuchsgegner schliesslich die Berufung - aufgrund der zwischen den Parteien am 10. März 2013 geschlos- senen und mit Urteil des Einzelgerichts Horgen vom 16. April 2013 (Urk. 63) ge- richtlich genehmigten Scheidungsvereinbarung (Urk. 62/2; Urk. 63) - zurück (Urk. 64). Entsprechend ist das Verfahren abzuschreiben (Art. 241 Abs. 3 ZPO). Mit dem Rückzug wird auch die erstinstanzliche Regelung der Kosten- und Entschädigungsfolgen rechtskräftig. Ausgangs- und vereinbarungsgemäss sind die Prozesskosten des Berufungsverfahrens dem Gesuchsgegner aufzuerlegen</w:t>
      </w:r>
    </w:p>
    <w:p>
      <w:r>
        <w:t>- 3 - (Urk. 62/2 S. 4; Urk. 63 S. 4). Sie sind aus dem von diesem geleisteten Kosten- vorschuss (Fr. 3'000.–; Prot. II S. 2; Urk. 51) zu beziehen. Vom Verzicht der Ge- suchstellerin auf eine Parteientschädigung für das Berufungsverfahren (Urk. 62/2 S. 4; Urk. 63 S. 4) ist Vormerk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